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148d2_s3a.htm"/>
      <w:bookmarkStart w:id="1" w:name="kstm2623148d2_s3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October 9,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333-298648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 TO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FORM S-3</w:t>
        <w:br/>
        <w:t>REGISTRATION STATEMENT UNDER THE</w:t>
        <w:br/>
        <w:t>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99-2516128</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Laguna Hills, CA 92653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(949) 758-0650</w:t>
      </w:r>
      <w:r>
        <w:rPr>
          <w:rFonts w:ascii="Times New Roman;Times;Serif" w:hAnsi="Times New Roman;Times;Serif"/>
          <w:b w:val="false"/>
          <w:i w:val="false"/>
          <w:caps w:val="false"/>
          <w:smallCaps w:val="false"/>
          <w:sz w:val="20"/>
        </w:rPr>
        <w:b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Yidan Chen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Laguna Hills, CA 92653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(949) 758-0650</w:t>
      </w:r>
      <w:r>
        <w:rPr>
          <w:rFonts w:ascii="Times New Roman;Times;Serif" w:hAnsi="Times New Roman;Times;Serif"/>
          <w:b w:val="false"/>
          <w:i w:val="false"/>
          <w:caps w:val="false"/>
          <w:smallCaps w:val="false"/>
          <w:sz w:val="20"/>
        </w:rPr>
        <w:b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 Lou, Esq.</w:t>
        <w:br/>
        <w:t>David Manno,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McCarter &amp; English,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 West 55th St., 13</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br/>
        <w:t>(212) 609-6800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Securities and Exchange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OCTOBER 9, 2026</w:t>
      </w:r>
      <w:r>
        <w:rPr>
          <w:rFonts w:ascii="Times New Roman;Times;Serif" w:hAnsi="Times New Roman;Times;Serif"/>
          <w:b w:val="false"/>
          <w:i w:val="false"/>
          <w:caps w:val="false"/>
          <w:smallCaps w:val="false"/>
          <w:color w:val="FF0000"/>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62100"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11715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br/>
        <w:t>Preferred Stock</w:t>
        <w:br/>
        <w:t>Debt Securities</w:t>
        <w:br/>
        <w:t>Warrants</w:t>
        <w:br/>
        <w:t>Rights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Elite Express Holding Inc. (the “Company,” “we,” “us” or “our”) may offer and sell, from time to time, in one or more offerings, any combination of shares of our Class A common stock, par value $0.000001 per share (“Class A Common Stock”), preferred stock, debt securities, warrants, rights or units having an aggregate offering price not exceeding $300,000,000. The preferred stock, debt securities, warrants, rights and units may be exercisable or exchangeable for Class A Common Stock, preferred stock or other securities of ours. In connection with the issuance of any debt securities, we do not intend to issue them pursuant to a trust indenture in reliance on Section 304(a)(8) of the Trust Indenture Act and Rule 4a-1 promulgated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that we may offer. We will provide specific terms of the offerings of our securities in one or more supplements to this prospectus. The prospectus supplement may also add, update or change information in this prospectus. You should read this prospectus and any prospectus supplement, as well as the documents incorporated by reference or deemed to be incorporated by reference into this prospectus, carefully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our securities unless accompanied by a prospectus supplement relating to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sold directly by us, through dealers or agents designated from time to time, to or through underwriters, dealers or through a combination of these methods on a continuous or delayed basis. For additional information on the methods of sale, see the section entitled “Plan of Distribution” in this prospectus. We will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price to the public of such securities and the net proceeds we expect to receive from any such sale will also be included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Common Stock is currently listed on The Nasdaq Capital Market under the symbol “ETS.” On October 7, 2026, the last reported sale price of our Class A Common Stock on The Nasdaq Capital Market was $1.4900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calculated pursuant to Instruction I.B.1 of Form S-3, the aggregate market value of the outstanding voting and non-voting common equity (as defined in Rule 405 under the Securities Act) of the Company held by persons other than affiliates of the Company (the “Non-Affiliate Shares”) was approximately $115,830,013, calculated based on 44,550,005 shares of Class A Common Stock outstanding as of October 7, 2026, all of which were Non-Affiliate Shares, and a price per share of $2.60, which was the closing price of the Class A Common Stock on The Nasdaq Capital Market on September 18, 2026, a date within 60 days prior to the date of this prospectus. Because our public float exceeds $75 million, we are not subject to the offering limitations of General Instruction I.B.6 of Form S-3, and this prospectus supplement is not limited by the one-third public float cap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review the risks described under the heading “Risk Factors” beginning on page 4 and in the documents which are incorporated by reference herein and contained in the applicable prospectus supplement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October 9,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400"/>
        <w:gridCol w:w="590"/>
      </w:tblGrid>
      <w:tr>
        <w:trPr/>
        <w:tc>
          <w:tcPr>
            <w:tcW w:w="740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pPr>
            <w:r>
              <w:rPr>
                <w:b/>
              </w:rPr>
              <w:t>Page</w:t>
            </w:r>
            <w:r>
              <w:rPr/>
              <w:t> </w:t>
            </w:r>
          </w:p>
        </w:tc>
      </w:tr>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90" w:type="dxa"/>
            <w:tcBorders/>
            <w:shd w:fill="CCEEFF" w:val="clear"/>
            <w:vAlign w:val="center"/>
          </w:tcPr>
          <w:p>
            <w:pPr>
              <w:pStyle w:val="TableContents"/>
              <w:bidi w:val="0"/>
              <w:spacing w:before="0" w:after="283"/>
              <w:jc w:val="center"/>
              <w:rPr/>
            </w:pPr>
            <w:hyperlink w:anchor="a_001">
              <w:r>
                <w:rPr>
                  <w:rStyle w:val="InternetLink"/>
                </w:rPr>
                <w:t>1</w:t>
              </w:r>
            </w:hyperlink>
          </w:p>
        </w:tc>
      </w:tr>
      <w:tr>
        <w:trPr/>
        <w:tc>
          <w:tcPr>
            <w:tcW w:w="7400" w:type="dxa"/>
            <w:tcBorders/>
            <w:shd w:fill="FFFFFF" w:val="clear"/>
            <w:vAlign w:val="center"/>
          </w:tcPr>
          <w:p>
            <w:pPr>
              <w:pStyle w:val="TableContents"/>
              <w:bidi w:val="0"/>
              <w:spacing w:before="0" w:after="283"/>
              <w:jc w:val="left"/>
              <w:rPr/>
            </w:pPr>
            <w:hyperlink w:anchor="a_002">
              <w:r>
                <w:rPr>
                  <w:rStyle w:val="InternetLink"/>
                </w:rPr>
                <w:t>SPECIAL NOTE REGARDING FORWARD-LOOKING STATEMENTS</w:t>
              </w:r>
            </w:hyperlink>
          </w:p>
        </w:tc>
        <w:tc>
          <w:tcPr>
            <w:tcW w:w="590" w:type="dxa"/>
            <w:tcBorders/>
            <w:shd w:fill="FFFFFF" w:val="clear"/>
            <w:vAlign w:val="center"/>
          </w:tcPr>
          <w:p>
            <w:pPr>
              <w:pStyle w:val="TableContents"/>
              <w:bidi w:val="0"/>
              <w:spacing w:before="0" w:after="283"/>
              <w:jc w:val="center"/>
              <w:rPr/>
            </w:pPr>
            <w:hyperlink w:anchor="a_002">
              <w:r>
                <w:rPr>
                  <w:rStyle w:val="InternetLink"/>
                </w:rPr>
                <w:t>2</w:t>
              </w:r>
            </w:hyperlink>
          </w:p>
        </w:tc>
      </w:tr>
      <w:tr>
        <w:trPr/>
        <w:tc>
          <w:tcPr>
            <w:tcW w:w="7400" w:type="dxa"/>
            <w:tcBorders/>
            <w:shd w:fill="CCEEFF" w:val="clear"/>
            <w:vAlign w:val="center"/>
          </w:tcPr>
          <w:p>
            <w:pPr>
              <w:pStyle w:val="TableContents"/>
              <w:bidi w:val="0"/>
              <w:spacing w:before="0" w:after="283"/>
              <w:jc w:val="left"/>
              <w:rPr/>
            </w:pPr>
            <w:hyperlink w:anchor="a_003">
              <w:r>
                <w:rPr>
                  <w:rStyle w:val="InternetLink"/>
                </w:rPr>
                <w:t>PROSPECTUS SUMMARY</w:t>
              </w:r>
            </w:hyperlink>
          </w:p>
        </w:tc>
        <w:tc>
          <w:tcPr>
            <w:tcW w:w="590" w:type="dxa"/>
            <w:tcBorders/>
            <w:shd w:fill="CCEEFF" w:val="clear"/>
            <w:vAlign w:val="center"/>
          </w:tcPr>
          <w:p>
            <w:pPr>
              <w:pStyle w:val="TableContents"/>
              <w:bidi w:val="0"/>
              <w:spacing w:before="0" w:after="283"/>
              <w:jc w:val="center"/>
              <w:rPr/>
            </w:pPr>
            <w:hyperlink w:anchor="a_003">
              <w:r>
                <w:rPr>
                  <w:rStyle w:val="InternetLink"/>
                </w:rPr>
                <w:t>3</w:t>
              </w:r>
            </w:hyperlink>
          </w:p>
        </w:tc>
      </w:tr>
      <w:tr>
        <w:trPr/>
        <w:tc>
          <w:tcPr>
            <w:tcW w:w="740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590" w:type="dxa"/>
            <w:tcBorders/>
            <w:shd w:fill="FFFFFF" w:val="clear"/>
            <w:vAlign w:val="center"/>
          </w:tcPr>
          <w:p>
            <w:pPr>
              <w:pStyle w:val="TableContents"/>
              <w:bidi w:val="0"/>
              <w:spacing w:before="0" w:after="283"/>
              <w:jc w:val="center"/>
              <w:rPr/>
            </w:pPr>
            <w:hyperlink w:anchor="a_004">
              <w:r>
                <w:rPr>
                  <w:rStyle w:val="InternetLink"/>
                </w:rPr>
                <w:t>4</w:t>
              </w:r>
            </w:hyperlink>
          </w:p>
        </w:tc>
      </w:tr>
      <w:tr>
        <w:trPr/>
        <w:tc>
          <w:tcPr>
            <w:tcW w:w="7400"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590" w:type="dxa"/>
            <w:tcBorders/>
            <w:shd w:fill="CCEEFF" w:val="clear"/>
            <w:vAlign w:val="center"/>
          </w:tcPr>
          <w:p>
            <w:pPr>
              <w:pStyle w:val="TableContents"/>
              <w:bidi w:val="0"/>
              <w:spacing w:before="0" w:after="283"/>
              <w:jc w:val="center"/>
              <w:rPr/>
            </w:pPr>
            <w:hyperlink w:anchor="a_005">
              <w:r>
                <w:rPr>
                  <w:rStyle w:val="InternetLink"/>
                </w:rPr>
                <w:t>4</w:t>
              </w:r>
            </w:hyperlink>
          </w:p>
        </w:tc>
      </w:tr>
      <w:tr>
        <w:trPr/>
        <w:tc>
          <w:tcPr>
            <w:tcW w:w="7400" w:type="dxa"/>
            <w:tcBorders/>
            <w:shd w:fill="FFFFFF" w:val="clear"/>
            <w:vAlign w:val="center"/>
          </w:tcPr>
          <w:p>
            <w:pPr>
              <w:pStyle w:val="TableContents"/>
              <w:bidi w:val="0"/>
              <w:spacing w:before="0" w:after="283"/>
              <w:jc w:val="left"/>
              <w:rPr/>
            </w:pPr>
            <w:hyperlink w:anchor="a_006">
              <w:r>
                <w:rPr>
                  <w:rStyle w:val="InternetLink"/>
                </w:rPr>
                <w:t>THE SECURITIES WE MAY OFFER</w:t>
              </w:r>
            </w:hyperlink>
          </w:p>
        </w:tc>
        <w:tc>
          <w:tcPr>
            <w:tcW w:w="590" w:type="dxa"/>
            <w:tcBorders/>
            <w:shd w:fill="FFFFFF" w:val="clear"/>
            <w:vAlign w:val="center"/>
          </w:tcPr>
          <w:p>
            <w:pPr>
              <w:pStyle w:val="TableContents"/>
              <w:bidi w:val="0"/>
              <w:spacing w:before="0" w:after="283"/>
              <w:jc w:val="center"/>
              <w:rPr/>
            </w:pPr>
            <w:hyperlink w:anchor="a_006">
              <w:r>
                <w:rPr>
                  <w:rStyle w:val="InternetLink"/>
                </w:rPr>
                <w:t>4</w:t>
              </w:r>
            </w:hyperlink>
          </w:p>
        </w:tc>
      </w:tr>
      <w:tr>
        <w:trPr/>
        <w:tc>
          <w:tcPr>
            <w:tcW w:w="7400"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590" w:type="dxa"/>
            <w:tcBorders/>
            <w:shd w:fill="CCEEFF" w:val="clear"/>
            <w:vAlign w:val="center"/>
          </w:tcPr>
          <w:p>
            <w:pPr>
              <w:pStyle w:val="TableContents"/>
              <w:bidi w:val="0"/>
              <w:spacing w:before="0" w:after="283"/>
              <w:jc w:val="center"/>
              <w:rPr/>
            </w:pPr>
            <w:hyperlink w:anchor="a_007">
              <w:r>
                <w:rPr>
                  <w:rStyle w:val="InternetLink"/>
                </w:rPr>
                <w:t>5</w:t>
              </w:r>
            </w:hyperlink>
          </w:p>
        </w:tc>
      </w:tr>
      <w:tr>
        <w:trPr/>
        <w:tc>
          <w:tcPr>
            <w:tcW w:w="7400" w:type="dxa"/>
            <w:tcBorders/>
            <w:shd w:fill="FFFFFF" w:val="clear"/>
            <w:vAlign w:val="center"/>
          </w:tcPr>
          <w:p>
            <w:pPr>
              <w:pStyle w:val="TableContents"/>
              <w:bidi w:val="0"/>
              <w:spacing w:before="0" w:after="283"/>
              <w:jc w:val="left"/>
              <w:rPr/>
            </w:pPr>
            <w:hyperlink w:anchor="a_008">
              <w:r>
                <w:rPr>
                  <w:rStyle w:val="InternetLink"/>
                </w:rPr>
                <w:t>DESCRIPTION OF DEBT SECURITIES</w:t>
              </w:r>
            </w:hyperlink>
          </w:p>
        </w:tc>
        <w:tc>
          <w:tcPr>
            <w:tcW w:w="590" w:type="dxa"/>
            <w:tcBorders/>
            <w:shd w:fill="FFFFFF" w:val="clear"/>
            <w:vAlign w:val="center"/>
          </w:tcPr>
          <w:p>
            <w:pPr>
              <w:pStyle w:val="TableContents"/>
              <w:bidi w:val="0"/>
              <w:spacing w:before="0" w:after="283"/>
              <w:jc w:val="center"/>
              <w:rPr/>
            </w:pPr>
            <w:hyperlink w:anchor="a_008">
              <w:r>
                <w:rPr>
                  <w:rStyle w:val="InternetLink"/>
                </w:rPr>
                <w:t>8</w:t>
              </w:r>
            </w:hyperlink>
          </w:p>
        </w:tc>
      </w:tr>
      <w:tr>
        <w:trPr/>
        <w:tc>
          <w:tcPr>
            <w:tcW w:w="7400"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590" w:type="dxa"/>
            <w:tcBorders/>
            <w:shd w:fill="CCEEFF" w:val="clear"/>
            <w:vAlign w:val="center"/>
          </w:tcPr>
          <w:p>
            <w:pPr>
              <w:pStyle w:val="TableContents"/>
              <w:bidi w:val="0"/>
              <w:spacing w:before="0" w:after="283"/>
              <w:jc w:val="center"/>
              <w:rPr/>
            </w:pPr>
            <w:hyperlink w:anchor="a_009">
              <w:r>
                <w:rPr>
                  <w:rStyle w:val="InternetLink"/>
                </w:rPr>
                <w:t>11</w:t>
              </w:r>
            </w:hyperlink>
          </w:p>
        </w:tc>
      </w:tr>
      <w:tr>
        <w:trPr/>
        <w:tc>
          <w:tcPr>
            <w:tcW w:w="7400" w:type="dxa"/>
            <w:tcBorders/>
            <w:shd w:fill="FFFFFF" w:val="clear"/>
            <w:vAlign w:val="center"/>
          </w:tcPr>
          <w:p>
            <w:pPr>
              <w:pStyle w:val="TableContents"/>
              <w:bidi w:val="0"/>
              <w:spacing w:before="0" w:after="283"/>
              <w:jc w:val="left"/>
              <w:rPr/>
            </w:pPr>
            <w:hyperlink w:anchor="a_010">
              <w:r>
                <w:rPr>
                  <w:rStyle w:val="InternetLink"/>
                </w:rPr>
                <w:t>DESCRIPTION OF RIGHTS</w:t>
              </w:r>
            </w:hyperlink>
          </w:p>
        </w:tc>
        <w:tc>
          <w:tcPr>
            <w:tcW w:w="590" w:type="dxa"/>
            <w:tcBorders/>
            <w:shd w:fill="FFFFFF" w:val="clear"/>
            <w:vAlign w:val="center"/>
          </w:tcPr>
          <w:p>
            <w:pPr>
              <w:pStyle w:val="TableContents"/>
              <w:bidi w:val="0"/>
              <w:spacing w:before="0" w:after="283"/>
              <w:jc w:val="center"/>
              <w:rPr/>
            </w:pPr>
            <w:hyperlink w:anchor="a_010">
              <w:r>
                <w:rPr>
                  <w:rStyle w:val="InternetLink"/>
                </w:rPr>
                <w:t>12</w:t>
              </w:r>
            </w:hyperlink>
          </w:p>
        </w:tc>
      </w:tr>
      <w:tr>
        <w:trPr/>
        <w:tc>
          <w:tcPr>
            <w:tcW w:w="7400" w:type="dxa"/>
            <w:tcBorders/>
            <w:shd w:fill="CCEEFF" w:val="clear"/>
            <w:vAlign w:val="center"/>
          </w:tcPr>
          <w:p>
            <w:pPr>
              <w:pStyle w:val="TableContents"/>
              <w:bidi w:val="0"/>
              <w:spacing w:before="0" w:after="283"/>
              <w:jc w:val="left"/>
              <w:rPr/>
            </w:pPr>
            <w:hyperlink w:anchor="a_011">
              <w:r>
                <w:rPr>
                  <w:rStyle w:val="InternetLink"/>
                </w:rPr>
                <w:t>DESCRIPTION OF UNITS</w:t>
              </w:r>
            </w:hyperlink>
          </w:p>
        </w:tc>
        <w:tc>
          <w:tcPr>
            <w:tcW w:w="590" w:type="dxa"/>
            <w:tcBorders/>
            <w:shd w:fill="CCEEFF" w:val="clear"/>
            <w:vAlign w:val="center"/>
          </w:tcPr>
          <w:p>
            <w:pPr>
              <w:pStyle w:val="TableContents"/>
              <w:bidi w:val="0"/>
              <w:spacing w:before="0" w:after="283"/>
              <w:jc w:val="center"/>
              <w:rPr/>
            </w:pPr>
            <w:hyperlink w:anchor="a_011">
              <w:r>
                <w:rPr>
                  <w:rStyle w:val="InternetLink"/>
                </w:rPr>
                <w:t>13</w:t>
              </w:r>
            </w:hyperlink>
          </w:p>
        </w:tc>
      </w:tr>
      <w:tr>
        <w:trPr/>
        <w:tc>
          <w:tcPr>
            <w:tcW w:w="7400" w:type="dxa"/>
            <w:tcBorders/>
            <w:shd w:fill="FFFFFF" w:val="clear"/>
            <w:vAlign w:val="center"/>
          </w:tcPr>
          <w:p>
            <w:pPr>
              <w:pStyle w:val="TableContents"/>
              <w:bidi w:val="0"/>
              <w:spacing w:before="0" w:after="283"/>
              <w:jc w:val="left"/>
              <w:rPr/>
            </w:pPr>
            <w:hyperlink w:anchor="a_012">
              <w:r>
                <w:rPr>
                  <w:rStyle w:val="InternetLink"/>
                </w:rPr>
                <w:t>PLAN OF DISTRIBUTION</w:t>
              </w:r>
            </w:hyperlink>
          </w:p>
        </w:tc>
        <w:tc>
          <w:tcPr>
            <w:tcW w:w="590" w:type="dxa"/>
            <w:tcBorders/>
            <w:shd w:fill="FFFFFF" w:val="clear"/>
            <w:vAlign w:val="center"/>
          </w:tcPr>
          <w:p>
            <w:pPr>
              <w:pStyle w:val="TableContents"/>
              <w:bidi w:val="0"/>
              <w:spacing w:before="0" w:after="283"/>
              <w:jc w:val="center"/>
              <w:rPr/>
            </w:pPr>
            <w:hyperlink w:anchor="a_012">
              <w:r>
                <w:rPr>
                  <w:rStyle w:val="InternetLink"/>
                </w:rPr>
                <w:t>13</w:t>
              </w:r>
            </w:hyperlink>
          </w:p>
        </w:tc>
      </w:tr>
      <w:tr>
        <w:trPr/>
        <w:tc>
          <w:tcPr>
            <w:tcW w:w="7400" w:type="dxa"/>
            <w:tcBorders/>
            <w:shd w:fill="CCEEFF" w:val="clear"/>
            <w:vAlign w:val="center"/>
          </w:tcPr>
          <w:p>
            <w:pPr>
              <w:pStyle w:val="TableContents"/>
              <w:bidi w:val="0"/>
              <w:spacing w:before="0" w:after="283"/>
              <w:jc w:val="left"/>
              <w:rPr/>
            </w:pPr>
            <w:hyperlink w:anchor="a_013">
              <w:r>
                <w:rPr>
                  <w:rStyle w:val="InternetLink"/>
                </w:rPr>
                <w:t>LEGAL MATTERS</w:t>
              </w:r>
            </w:hyperlink>
          </w:p>
        </w:tc>
        <w:tc>
          <w:tcPr>
            <w:tcW w:w="590" w:type="dxa"/>
            <w:tcBorders/>
            <w:shd w:fill="CCEEFF" w:val="clear"/>
            <w:vAlign w:val="center"/>
          </w:tcPr>
          <w:p>
            <w:pPr>
              <w:pStyle w:val="TableContents"/>
              <w:bidi w:val="0"/>
              <w:spacing w:before="0" w:after="283"/>
              <w:jc w:val="center"/>
              <w:rPr/>
            </w:pPr>
            <w:hyperlink w:anchor="a_013">
              <w:r>
                <w:rPr>
                  <w:rStyle w:val="InternetLink"/>
                </w:rPr>
                <w:t>16</w:t>
              </w:r>
            </w:hyperlink>
          </w:p>
        </w:tc>
      </w:tr>
      <w:tr>
        <w:trPr/>
        <w:tc>
          <w:tcPr>
            <w:tcW w:w="7400" w:type="dxa"/>
            <w:tcBorders/>
            <w:shd w:fill="FFFFFF" w:val="clear"/>
            <w:vAlign w:val="center"/>
          </w:tcPr>
          <w:p>
            <w:pPr>
              <w:pStyle w:val="TableContents"/>
              <w:bidi w:val="0"/>
              <w:spacing w:before="0" w:after="283"/>
              <w:jc w:val="left"/>
              <w:rPr/>
            </w:pPr>
            <w:hyperlink w:anchor="a_014">
              <w:r>
                <w:rPr>
                  <w:rStyle w:val="InternetLink"/>
                </w:rPr>
                <w:t>EXPERTS</w:t>
              </w:r>
            </w:hyperlink>
          </w:p>
        </w:tc>
        <w:tc>
          <w:tcPr>
            <w:tcW w:w="590" w:type="dxa"/>
            <w:tcBorders/>
            <w:shd w:fill="FFFFFF" w:val="clear"/>
            <w:vAlign w:val="center"/>
          </w:tcPr>
          <w:p>
            <w:pPr>
              <w:pStyle w:val="TableContents"/>
              <w:bidi w:val="0"/>
              <w:spacing w:before="0" w:after="283"/>
              <w:jc w:val="center"/>
              <w:rPr/>
            </w:pPr>
            <w:hyperlink w:anchor="a_014">
              <w:r>
                <w:rPr>
                  <w:rStyle w:val="InternetLink"/>
                </w:rPr>
                <w:t>16</w:t>
              </w:r>
            </w:hyperlink>
          </w:p>
        </w:tc>
      </w:tr>
      <w:tr>
        <w:trPr/>
        <w:tc>
          <w:tcPr>
            <w:tcW w:w="7400" w:type="dxa"/>
            <w:tcBorders/>
            <w:shd w:fill="CCEEFF" w:val="clear"/>
            <w:vAlign w:val="center"/>
          </w:tcPr>
          <w:p>
            <w:pPr>
              <w:pStyle w:val="TableContents"/>
              <w:bidi w:val="0"/>
              <w:spacing w:before="0" w:after="283"/>
              <w:jc w:val="left"/>
              <w:rPr/>
            </w:pPr>
            <w:hyperlink w:anchor="a_015">
              <w:r>
                <w:rPr>
                  <w:rStyle w:val="InternetLink"/>
                </w:rPr>
                <w:t>WHERE YOU CAN FIND MORE INFORMATION</w:t>
              </w:r>
            </w:hyperlink>
          </w:p>
        </w:tc>
        <w:tc>
          <w:tcPr>
            <w:tcW w:w="590" w:type="dxa"/>
            <w:tcBorders/>
            <w:shd w:fill="CCEEFF" w:val="clear"/>
            <w:vAlign w:val="center"/>
          </w:tcPr>
          <w:p>
            <w:pPr>
              <w:pStyle w:val="TableContents"/>
              <w:bidi w:val="0"/>
              <w:spacing w:before="0" w:after="283"/>
              <w:jc w:val="center"/>
              <w:rPr/>
            </w:pPr>
            <w:hyperlink w:anchor="a_015">
              <w:r>
                <w:rPr>
                  <w:rStyle w:val="InternetLink"/>
                </w:rPr>
                <w:t>16</w:t>
              </w:r>
            </w:hyperlink>
          </w:p>
        </w:tc>
      </w:tr>
      <w:tr>
        <w:trPr/>
        <w:tc>
          <w:tcPr>
            <w:tcW w:w="7400" w:type="dxa"/>
            <w:tcBorders/>
            <w:shd w:fill="FFFFFF" w:val="clear"/>
            <w:vAlign w:val="center"/>
          </w:tcPr>
          <w:p>
            <w:pPr>
              <w:pStyle w:val="TableContents"/>
              <w:bidi w:val="0"/>
              <w:spacing w:before="0" w:after="283"/>
              <w:jc w:val="left"/>
              <w:rPr/>
            </w:pPr>
            <w:hyperlink w:anchor="a_016">
              <w:r>
                <w:rPr>
                  <w:rStyle w:val="InternetLink"/>
                </w:rPr>
                <w:t>INCORPORATION OF DOCUMENTS BY REFERENCE</w:t>
              </w:r>
            </w:hyperlink>
          </w:p>
        </w:tc>
        <w:tc>
          <w:tcPr>
            <w:tcW w:w="590" w:type="dxa"/>
            <w:tcBorders/>
            <w:shd w:fill="FFFFFF" w:val="clear"/>
            <w:vAlign w:val="center"/>
          </w:tcPr>
          <w:p>
            <w:pPr>
              <w:pStyle w:val="TableContents"/>
              <w:bidi w:val="0"/>
              <w:spacing w:before="0" w:after="283"/>
              <w:jc w:val="center"/>
              <w:rPr/>
            </w:pPr>
            <w:hyperlink w:anchor="a_016">
              <w:r>
                <w:rPr>
                  <w:rStyle w:val="InternetLink"/>
                </w:rPr>
                <w:t>17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and any accompanying prospectus supplement or incorporated by reference in these documents. No dealer, salesperson or other person is authorized to give any information or to represent anything not contained or incorporated by reference in this prospectus or the accompanying prospectus supplement. If anyone provides you with different, inconsistent or unauthorized information or representations, you must not rely on them. This prospectus and any accompanying prospectus supplement are an offer to sell only the securities offered by these documents, but only under circumstances and in jurisdictions where it is lawful to do so. The information contained in this prospectus or any prospectus supplement is current only as of the date on the front of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using a “shelf” registration process. Under this shelf registration process, we may sell any combination of the securities described in this prospectus in one or more offerings from time to time having an aggregate offering price of up to $300,000,000. This prospectus provides you with a general description of the securities that we may offer. Each time that we offer securities, we will provide you with a prospectus supplement that describes the specific amounts, prices and terms of the securities that we offer. The prospectus supplement also may add, update or change information contained in this prospectus. You should read carefully both this prospectus, including the section entitled “Risk Factors,” and any prospectus supplement, together with the additional information described below under the headings “Where You Can Find More Information” and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prospectus does not contain all the information provided in the registration statement that we filed with the SEC. For further information, we refer you to the registration statement, including its exhibits. The registration statement can be read on the SEC’s website or at the SEC’s offices mentioned below under the heading “Where You Can Find More Information”. Statements contained in this prospectus and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 This prospectus may not be used to consummate a sale of our securities unless it is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Elite Express Holding Inc. as “we,” “us,” “our,” “ETS,” “Elite Express” and the “Company,” unless we specifically state otherwise or the context indicates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amendment and the information incorporated by reference into this prospectus, including the sections entitled “Risk Factors”, contain “forward-looking statements” within the meaning of Section 21(E) of the Securities Exchange Act of 1934, as amended (the “Exchange Act”), and Section 27A of the Securities Act. These forward-looking statements include, without limitation: statements regarding new products or services; statements concerning litigation or other matters; statements concerning projections, predictions, expectations, estimates or forecasts for our business, financial and operating results and future economic performance; statements of our management’s goals and objectives; statements concerning our competitive environment, availability of resources and regulation; trends affecting our financial condition, results of operations or future prospects; our financing plans or growth strategies; and other similar expressions concerning matters that are not historical facts. Words such as “may”, “will”, “should”, “could”, “would”, “predicts”, “potential”, “continue”, “expects”, “anticipates”, “future”, “intends”, “plans”, “believes” and “estimates,” and variations of such terms or similar expressions, are intended to identify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should not be read as a guarantee of future performance or results and will not necessarily be accurate indications of the times at, or by which, that performance or those results will be achieved. Forward-looking statements are based on information available at the time they are made and/or our management’s good faith belief as of that time with respect to future events. Our actual results may differ materially from those expressed in, or implied by, the forward-looking statements due to a number of factors including, but not limited to, those set forth under the heading “Risk Factors” in this prospectus, as well as other risks discussed in documents that we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You should review our subsequent reports filed with the SEC described in the sections of this prospectus entitled “Where You Can Find More Information” and “Incorporation of Documents by Reference,” all of which are accessible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Delaware. Through our wholly owned subsidiary, JAR Transportation Inc., a California corporation (“JAR”), we specialize in last-mile delivery services within California. Our core business focuses on retrieving packages from distribution hubs and ensuring their prompt and secure delivery to recipients’ doorsteps. Committed to innovation and efficiency, our mission is to optimize last-mile logistics by providing efficient, reliable and innovative delivery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 was incorporated on April 3, 2024 under the laws of the State of Delaware and was formed for the purpose of acquiring JAR. On October 25, 2024, we acquired all issued and outstanding shares of JAR for total cash consideration of $1,367,169, after which JAR became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employed approximately 29 full-time staff, including approximately 23 drivers. Our fleet consisted of approximately 22 trucks and trailers. We provide exclusive pickup and delivery services within our designated service area, covering approximately 1,665.28 square miles. We utilize GroundCloud, a leading logistics software, during our course of business, for route optimization, driver management and compliance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we are actively expanding our investment in advanced technologies to enhance our scalability, automate our operations and drive our data-driven decision-making. On an average day, we complete between 1,100 and 1,700 stops, facilitating the pickup and delivery of approximately 1,800 to 2,500 packages. During peak seasons, our daily stops rise to an estimated 2,000, allowing us to meet heightened demand with efficiency and reliability.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pick up packages from the distribution hubs of FedEx and deliver them to recipients within designated service areas. While FedEx has been our only customer under an Independent Service Provider (“ISP”) agreement, we are actively exploring opportunities to expand our customer base, diversify our revenue streams and strengthen our market presence.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company, prior to the acquisition of JAR on October 25, 2024, did not have any active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Delaware on April 3, 2024. JAR was incorporated under the laws of the State of California on May 27, 2020, and became our wholly owned subsidiary on October 25, 2024. Our principal executive offices are located at 23046 Avenida De La Carlota, Suite 600, Laguna Hills, California 92653, and our telephone number is (949) 758-0650. Our website address is https://www.eliteexpressholding.com. The information on, or that can be accessed through, our website is not part of this prospectus and is not incorporated by reference herein. We have included our website address as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Investment in any securities offered pursuant to this prospectus and the applicable prospectus supplement involves risks. You should carefully consider the risk factors incorporated by reference to our </w:t>
      </w:r>
      <w:hyperlink r:id="rId3">
        <w:r>
          <w:rPr>
            <w:rStyle w:val="InternetLink"/>
            <w:rFonts w:ascii="Times New Roman;Times;Serif" w:hAnsi="Times New Roman;Times;Serif"/>
            <w:b w:val="false"/>
            <w:i w:val="false"/>
            <w:caps w:val="false"/>
            <w:smallCaps w:val="false"/>
            <w:sz w:val="20"/>
          </w:rPr>
          <w:t>Annual Report on Form 10-K for the fiscal year ended November 30, 2025, filed with the SEC on February 27, 2026</w:t>
        </w:r>
      </w:hyperlink>
      <w:r>
        <w:rPr>
          <w:rFonts w:ascii="Times New Roman;Times;Serif" w:hAnsi="Times New Roman;Times;Serif"/>
          <w:b w:val="false"/>
          <w:i w:val="false"/>
          <w:caps w:val="false"/>
          <w:smallCaps w:val="false"/>
          <w:sz w:val="20"/>
        </w:rPr>
        <w:t xml:space="preserve">, as amended by </w:t>
      </w:r>
      <w:hyperlink r:id="rId4">
        <w:r>
          <w:rPr>
            <w:rStyle w:val="InternetLink"/>
            <w:rFonts w:ascii="Times New Roman;Times;Serif" w:hAnsi="Times New Roman;Times;Serif"/>
            <w:b w:val="false"/>
            <w:i w:val="false"/>
            <w:caps w:val="false"/>
            <w:smallCaps w:val="false"/>
            <w:sz w:val="20"/>
          </w:rPr>
          <w:t>Amendment No. 1 on Form 10-K/A filed with the SEC on March 18, 2026</w:t>
        </w:r>
      </w:hyperlink>
      <w:r>
        <w:rPr>
          <w:rFonts w:ascii="Times New Roman;Times;Serif" w:hAnsi="Times New Roman;Times;Serif"/>
          <w:b w:val="false"/>
          <w:i w:val="false"/>
          <w:caps w:val="false"/>
          <w:smallCaps w:val="false"/>
          <w:sz w:val="20"/>
        </w:rPr>
        <w:t>,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free writing prospectus before acquiring any such securities. The occurrence of any of these risks might cause you to lose all or part of your investment in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other unknown or unpredictable operational, regulatory, economic, business, competitive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flows could be seriously harmed. This could cause the trading price of our securities to decline, resulting in a loss of all or part of your investment. Please also carefully read the section entitled “Special Note Regarding Forward-Looking Statements” included in this prospectus and any similar section contained in any applicable prospectus supplement or free writing prospectus, and the documents incorporated by reference herein and therein, concerning factors you should consider before investing in our securities.</w:t>
      </w:r>
    </w:p>
    <w:p>
      <w:pPr>
        <w:pStyle w:val="TextBody"/>
        <w:bidi w:val="0"/>
        <w:spacing w:before="0" w:after="0"/>
        <w:ind w:left="0" w:right="0" w:hanging="0"/>
        <w:jc w:val="left"/>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as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THE SECURITIES THAT WE MAY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such securities may differ from the terms that we have summarized below. We will also include in the prospectus supplement information, where applicable, about material United States federal income tax considerations relating to the securities, and the securities exchange, if any, on which such securities will be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w:t>
      </w:r>
    </w:p>
    <w:p>
      <w:pPr>
        <w:pStyle w:val="TextBody"/>
        <w:bidi w:val="0"/>
        <w:spacing w:before="0" w:after="0"/>
        <w:ind w:left="0" w:right="0" w:hanging="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our Class A Common Stock;</w:t>
            </w:r>
          </w:p>
        </w:tc>
      </w:tr>
    </w:tbl>
    <w:p>
      <w:pPr>
        <w:pStyle w:val="TextBody"/>
        <w:bidi w:val="0"/>
        <w:spacing w:before="0" w:after="0"/>
        <w:ind w:left="0" w:right="0" w:firstLine="72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our preferred stock;</w:t>
            </w:r>
          </w:p>
        </w:tc>
      </w:tr>
    </w:tbl>
    <w:p>
      <w:pPr>
        <w:pStyle w:val="TextBody"/>
        <w:bidi w:val="0"/>
        <w:spacing w:before="0" w:after="0"/>
        <w:ind w:left="0" w:right="0" w:firstLine="72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debt securities;</w:t>
            </w:r>
          </w:p>
        </w:tc>
      </w:tr>
    </w:tbl>
    <w:p>
      <w:pPr>
        <w:pStyle w:val="TextBody"/>
        <w:bidi w:val="0"/>
        <w:spacing w:before="0" w:after="0"/>
        <w:ind w:left="0" w:right="0" w:firstLine="720"/>
        <w:jc w:val="left"/>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to purchase shares of our Class A Common Stock, preferred stock or debt securities;</w:t>
            </w:r>
          </w:p>
        </w:tc>
      </w:tr>
    </w:tbl>
    <w:p>
      <w:pPr>
        <w:pStyle w:val="TextBody"/>
        <w:bidi w:val="0"/>
        <w:spacing w:before="0" w:after="0"/>
        <w:ind w:left="0" w:right="0" w:firstLine="72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rights to purchase shares of our Class A Common Stock, preferred stock or other securities; and/or</w:t>
            </w:r>
          </w:p>
        </w:tc>
      </w:tr>
    </w:tbl>
    <w:p>
      <w:pPr>
        <w:pStyle w:val="TextBody"/>
        <w:bidi w:val="0"/>
        <w:spacing w:before="0" w:after="0"/>
        <w:ind w:left="0" w:right="0" w:firstLine="72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units consisting of any of the securities listed above.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any securities that we offer will be determined at the time of sale. We may issue securities that are exchangeable or exercisable for Class A Common Stock or any of the other securities that may be sold under this prospectus. When particular securities are offered, a supplement to this prospectus will be filed with the SEC, which will describe the terms of the offering and sale of such securities. In connection with the issuance of any debt securities, we do not intend to issue them pursuant to a trust indenture in reliance on Section 304(a)(8) of the Trust Indenture Act and Rule 4a-1 promulgated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our securities is not complete and may not contain all the information you should consider before investing in our securities. This description is summarized from, and qualified in its entirety by reference to, our amended and restated certificate of incorporation (our “Certificate of Incorporation”) and our amended and restated bylaws (our “Bylaws”), copies of which are incorporated by reference as exhibits to the registration statement of which this prospectus forms a part. The summary below is also qualified by reference to the provisions of the Delaware General Corporation Law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1,005,000,000 shares, par value $0.000001 per share, consisting of 900,000,000 shares of Class A Common Stock, 100,000,000 shares of Class B common stock (“Class B Common Stock”) and 5,000,000 shares of preferred stock (“Preferred Stock”). As of the date of this prospectus, 44,550,005 shares of Class A Common Stock and 4,166,667 shares of Class B Common Stock were issued and outstanding. As of the date of this prospectus, no shares of Preferred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Except as otherwise required by law or provided in our Certificate of Incorporation, holders of Class A Common Stock and Class B Common Stock vote together as a single class on all matters submitted to a vote of stockholders. Each share of Class A Common Stock is entitled to one vote, and each share of Class B Common Stock is entitled to 15 votes. Stockholders do not have cumulative voting rights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 Rights</w:t>
      </w:r>
      <w:r>
        <w:rPr>
          <w:rFonts w:ascii="Times New Roman;Times;Serif" w:hAnsi="Times New Roman;Times;Serif"/>
          <w:b w:val="false"/>
          <w:i w:val="false"/>
          <w:caps w:val="false"/>
          <w:smallCaps w:val="false"/>
          <w:sz w:val="20"/>
        </w:rPr>
        <w:t>. Each share of Class B Common Stock is convertible, at any time after issuance and at the option of the holder, into one share of Class A Common Stock. Shares of Class A Common Stock are not convertible into shares of any other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preferences that may apply to any then-outstanding Preferred Stock, holders of Class A Common Stock and Class B Common Stock are entitled to receive dividends, if any, as may be declared by our board of directors out of funds legally available for that purpose. Except for voting and conversion rights, holders of Class A Common Stock and Class B Common Stock have the same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 Rights</w:t>
      </w:r>
      <w:r>
        <w:rPr>
          <w:rFonts w:ascii="Times New Roman;Times;Serif" w:hAnsi="Times New Roman;Times;Serif"/>
          <w:b w:val="false"/>
          <w:i w:val="false"/>
          <w:caps w:val="false"/>
          <w:smallCaps w:val="false"/>
          <w:sz w:val="20"/>
        </w:rPr>
        <w:t>. 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Except for the conversion rights of the Class B Common Stock described above, 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our board of directors, without further action by our stockholders, to issue up to 5,000,000 shares of Preferred Stock in one or more series and to fix the designations, powers, preferences and relative, participating, optional or other special rights, and the qualifications, limitations or restrictions, of each series. These rights may include dividend rights, voting rights, conversion rights, redemption provisions, sinking fund provisions and liquidation preferences. The issuance of Preferred Stock could adversely affect the voting power and other rights of holders of our Class A Common Stock and could have the effect of delaying, deferring or preventing a change in control of our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of our Bylaws provides that, unless we consent in writing to the selection of an alternative forum, the federal district courts of the United States of America will be the sole and exclusive forum for the resolution of any complaint asserting a cause of action arising under the Securities Act. This exclusive forum provision does not apply to claims arising under the Exchange Act, for which the federal courts have exclusive jurisdiction, or to any other claim for which the federal courts have exclusive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forum provision may limit a stockholder’s ability to bring a claim in a judicial forum that it finds favorable and may increase the costs associated with such a claim. There is uncertainty as to whether a court would enforce this provision, and stockholders cannot waive compliance with the federal securities laws and the rules and regulations thereunder. If a court were to find this provision inapplicable or unenforceable, we may incur additional costs associated with resolving the dispute in another forum. Any person or entity purchasing or otherwise acquiring any interest in shares of our capital stock will be deemed to have notice of and consented to this provision.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DGCL, our Certificate of Incorporation and our Bylaws could have the effect of delaying, deferring or preventing a change in control of our company or changes in our management that stockholders may consider favorable. These provisions may also discourage proxy contests and make it more difficult for stockholders to elect directors and take other corporate 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In general, Section 203 prohibits a Delaware corporation from engaging in a business combination with an interested stockholder for three years after the time that the stockholder became an interested stockholder, unless: (i) before that time, the board of directors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corporation’s voting stock outstanding at the time the transaction commenced, excluding certain shares; or (iii) at or after that time, the business combination is approved by the board of directors and authorized at a stockholder meeting by the affirmative vote of at least 66 2/3% of the outstanding voting stock not owned by the interested stockholder. Generally, an “interested stockholder” is a person who, together with affiliates and associates, owns or, within the prior three years, owned 15% or more of the corporation’s outstanding voting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include provisions that may have an anti-takeover effect,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authorization of a dual-class common stock structure under which each share of Class B Common Stock has 15 votes, compared with one vote for each share of Class A Common Stock;</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authorization of “blank check” Preferred Stock that our board of directors may issue without stockholder approval, subject to applicable law and Nasdaq rules;</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power of our board of directors to fix the number of directors and to fill vacancies and newly created directorships, subject to the rights of holders of any series of Preferred Stock;</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limitation of the persons who may call a special meeting of stockholders to our Chief Executive Officer, the chairperson of our board of directors or our board of directors pursuant to a resolution adopted by a majority of the total number of authorized directors;</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advance notice requirements for stockholder proposals and nominations of candidates for election to our board of directors; and</w:t>
            </w:r>
          </w:p>
        </w:tc>
      </w:tr>
    </w:tbl>
    <w:p>
      <w:pPr>
        <w:pStyle w:val="TextBody"/>
        <w:bidi w:val="0"/>
        <w:spacing w:before="0" w:after="0"/>
        <w:ind w:left="360"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authority of our board of directors and holders of at least a majority of the outstanding voting power to amend our Bylaws, subject to applicable law and our Certificate of Incorporation.</w:t>
            </w:r>
          </w:p>
        </w:tc>
      </w:tr>
    </w:tbl>
    <w:p>
      <w:pPr>
        <w:pStyle w:val="TextBody"/>
        <w:bidi w:val="0"/>
        <w:spacing w:before="0" w:after="0"/>
        <w:ind w:left="360" w:right="0" w:hanging="2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permit stockholder action by written consent if the consent is signed by holders of outstanding stock having not less than the minimum number of votes that would be necessary to authorize the action at a meeting at which all shares entitled to vote were present and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Authorized but Unissued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authorized but unissued shares of Class A Common Stock, Class B Common Stock and Preferred Stock are available for issuance without stockholder approval, subject to applicable law and Nasdaq rules. We may use these shares for a variety of corporate purposes, including raising additional capital, acquisitions and employee stock plans. The existence of our authorized but unissued shares of common stock could render it more difficult or discourage an attempt to obtain control of the company by means of a proxy contest, tender offer, merger or otherwise.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to the fullest extent permitted by the DGCL, no director will be personally liable to us or our stockholders for monetary damages for breach of fiduciary duty as a director. The DGCL currently permits such limitation of liability, except for liability: (i) for any breach of the director’s duty of loyalty to us or our stockholders; (ii) for acts or omissions not in good faith or that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of our Bylaws requires us, to the fullest extent permitted by applicable law, to indemnify and hold harmless our directors and officers and to advance expenses incurred by them in defending covered proceedings, subject to the conditions set forth in our Bylaws and the DGCL. Our Bylaws also permit us to maintain insurance for our directors, officers, employees and agents. We purchased directors’ and officers’ liability insurance on August 21, 2025 and renewed on August 10,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under the symbol “ETS.”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Vstock Transfer, LLC, telephone 212-828-8436, located at 18 Lafayette Place, Woodmere, NY 11598, as the transfer agent for our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40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We may issue debt securities and incur additional indebtedness other than through the offering of debt securities pursuant to this prospectus. In connection with the issuance of any debt securities, we do not intend to issue them pursuant to a trust indenture in reliance on Section 304(a)(8) of the Trust Indenture Act and Rule 4a-1 promulgated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and will be equal in 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These terms will include some or all of the following:</w:t>
      </w:r>
    </w:p>
    <w:p>
      <w:pPr>
        <w:pStyle w:val="TextBody"/>
        <w:bidi w:val="0"/>
        <w:spacing w:before="0" w:after="0"/>
        <w:ind w:left="0" w:right="0" w:hanging="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debt securities and whether the debt securities are senior or subordinated;</w:t>
            </w:r>
          </w:p>
        </w:tc>
      </w:tr>
    </w:tbl>
    <w:p>
      <w:pPr>
        <w:pStyle w:val="TextBody"/>
        <w:bidi w:val="0"/>
        <w:spacing w:before="0" w:after="0"/>
        <w:ind w:left="0" w:right="0" w:firstLine="72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debt securities of such series;</w:t>
            </w:r>
          </w:p>
        </w:tc>
      </w:tr>
    </w:tbl>
    <w:p>
      <w:pPr>
        <w:pStyle w:val="TextBody"/>
        <w:bidi w:val="0"/>
        <w:spacing w:before="0" w:after="0"/>
        <w:ind w:left="0" w:right="0" w:firstLine="72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the principal amount at which the debt securities of any series will be issued;</w:t>
            </w:r>
          </w:p>
        </w:tc>
      </w:tr>
    </w:tbl>
    <w:p>
      <w:pPr>
        <w:pStyle w:val="TextBody"/>
        <w:bidi w:val="0"/>
        <w:spacing w:before="0" w:after="0"/>
        <w:ind w:left="0" w:right="0" w:firstLine="72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issue additional debt securities of the same series;</w:t>
            </w:r>
          </w:p>
        </w:tc>
      </w:tr>
    </w:tbl>
    <w:p>
      <w:pPr>
        <w:pStyle w:val="TextBody"/>
        <w:bidi w:val="0"/>
        <w:spacing w:before="0" w:after="0"/>
        <w:ind w:left="0" w:right="0" w:firstLine="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for the debt securities and the denominations of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specific designation of the series of debt securities being offered;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basis for calculating interest;</w:t>
            </w:r>
          </w:p>
        </w:tc>
      </w:tr>
    </w:tbl>
    <w:p>
      <w:pPr>
        <w:pStyle w:val="TextBody"/>
        <w:bidi w:val="0"/>
        <w:spacing w:before="0" w:after="0"/>
        <w:ind w:left="0" w:right="0" w:firstLine="72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from which any interest will accrue or the method by which such date or dates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duration of any deferral period, including the period during which interest payment periods may be extended;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we will pay interest on the debt securities and the regular record date for determining who is entitled to the interest payable on any interest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of amortization of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terms for the attachment to the debt securities of warrants, options or other rights to purchase or sell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debt securities will be secured by any collateral and, if so, a general description of the collateral and the terms and provisions of such collateral security, pledge or other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possess the option to do so, the periods within which and the prices at which we may redeem the debt securities, in whole or in part, pursuant to optional redemption provisions, and the other terms and conditions of any such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any, regarding the option or mandatory conversion or exchange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tc>
      </w:tr>
    </w:tbl>
    <w:p>
      <w:pPr>
        <w:pStyle w:val="TextBody"/>
        <w:bidi w:val="0"/>
        <w:spacing w:before="0" w:after="0"/>
        <w:ind w:left="0" w:right="0" w:hanging="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restriction or condition on the transferability of the debt securities of a particular series;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or methods of determining the portion, of the principal amount of the debt securities which we must pay upon the acceleration of the maturity of the debt securities in connection with any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if any, granting special rights to holders of the debt securities upon the occurrence of specified events;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deletions from, modifications of or additions to the events of default or our covenants with respect to the applicable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 on our ability to incur debt, redeem stock, sell our assets or other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what subordination provisions will apply to the debt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upon which the holders may convert or exchange the debt securities into or for our securities or property;</w:t>
            </w:r>
          </w:p>
        </w:tc>
      </w:tr>
    </w:tbl>
    <w:p>
      <w:pPr>
        <w:pStyle w:val="TextBody"/>
        <w:bidi w:val="0"/>
        <w:spacing w:before="0" w:after="0"/>
        <w:ind w:left="0" w:right="0" w:hanging="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we are issuing the debt securities in whole or in part in global form;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xml:space="preserve">● </w:t>
            </w:r>
          </w:p>
        </w:tc>
        <w:tc>
          <w:tcPr>
            <w:tcW w:w="9950" w:type="dxa"/>
            <w:tcBorders/>
            <w:vAlign w:val="center"/>
          </w:tcPr>
          <w:p>
            <w:pPr>
              <w:pStyle w:val="TableContents"/>
              <w:bidi w:val="0"/>
              <w:spacing w:before="0" w:after="283"/>
              <w:jc w:val="both"/>
              <w:rPr/>
            </w:pPr>
            <w:r>
              <w:rPr>
                <w:rFonts w:ascii="Times New Roman;Times;Serif" w:hAnsi="Times New Roman;Times;Serif"/>
                <w:sz w:val="20"/>
              </w:rPr>
              <w:t>any change in the right of the requisite holders of debt securities to declare the principal amount thereof due and payable because of an event of default;</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for global or certificated debt securities, if 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federal income tax consequences applicable to the debt securities, including any debt securities denominated and made payable, as described in the prospectus supplements, in foreign currencies, or units based on or related to foreign currencies;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right we may have to satisfy, discharge and defease our obligations under the debt securities, or terminate or eliminate restrictive covenants or events of default applicable to the debt securities, as described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the principal amount of any debt securities which shall be payable upon declaration of acceleration of the maturity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of the debt securities, including any modifications to the events of default under the debt securities and any other terms which may be required by or advisable under applicable laws or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We will provide these services without charge, other than any tax or other governmental charge payable in connection with the exchange or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pStyle w:val="TextBody"/>
        <w:bidi w:val="0"/>
        <w:spacing w:before="0" w:after="0"/>
        <w:ind w:left="0" w:right="0" w:hanging="0"/>
        <w:jc w:val="both"/>
        <w:rPr>
          <w:caps w:val="false"/>
          <w:smallCaps w:val="false"/>
        </w:rPr>
      </w:pPr>
      <w:r>
        <w:rPr>
          <w:caps w:val="false"/>
          <w:smallCaps w:val="false"/>
        </w:rPr>
        <w:t>  </w:t>
      </w:r>
      <w:r>
        <w:rPr>
          <w:caps/>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Class A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where applicable, the following terms of and other information relating to the warrants:</w:t>
      </w:r>
    </w:p>
    <w:p>
      <w:pPr>
        <w:pStyle w:val="TextBody"/>
        <w:bidi w:val="0"/>
        <w:spacing w:before="0" w:after="0"/>
        <w:ind w:left="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specific designation and aggregate number of, and the price at which we will issue, the warrants;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amount and terms of the securities purchasable upon exercise of the warrants;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shares of our Class A Common Stock and the number of shares of Class A Common Stock to be received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shares of our preferred stock, the number of shares of preferred stock to be received upon exercise, and a description of that series of our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exercise price for our debt securities, the amount of debt securities to be received upon exercise, and a description of that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bl>
    <w:p>
      <w:pPr>
        <w:pStyle w:val="TextBody"/>
        <w:bidi w:val="0"/>
        <w:spacing w:before="0" w:after="0"/>
        <w:ind w:left="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material U.S. federal income tax consequences;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identity of the warrant agent for the warrants and of any other depositaries, execution or paying agents, transfer agents, registrars or other agents;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proposed listing, if any, of the warrants or any securities purchasable upon exercise of the warrants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from and after which the warrants, Class A Common Stock, preferred stock and/or debt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the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ind w:left="0" w:right="0" w:firstLine="72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anti-dilution provisions of the warrants, if any;</w:t>
            </w:r>
          </w:p>
        </w:tc>
      </w:tr>
    </w:tbl>
    <w:p>
      <w:pPr>
        <w:pStyle w:val="TextBody"/>
        <w:bidi w:val="0"/>
        <w:spacing w:before="0" w:after="0"/>
        <w:ind w:left="0" w:right="0" w:firstLine="72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redemption or call provisions;</w:t>
            </w:r>
          </w:p>
        </w:tc>
      </w:tr>
    </w:tbl>
    <w:p>
      <w:pPr>
        <w:pStyle w:val="TextBody"/>
        <w:bidi w:val="0"/>
        <w:spacing w:before="0" w:after="0"/>
        <w:ind w:left="0" w:right="0" w:firstLine="72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may be sold separately or with other securities as parts of units; 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 outstanding warrants, options, convertible securities or other securities exercisable for or convertible into shares of our capital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shares of our Class A Common Stock, preferred stock, debt securities or other securities. These rights may be issued independently or together with any other security offered hereby and may or may not be transferable by the holder receiving the rights in such offering. The applicable prospectus supplement may add, update or change the terms and conditions of the rights as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rights for which this prospectus is being delivered, including the following:</w:t>
      </w:r>
    </w:p>
    <w:p>
      <w:pPr>
        <w:pStyle w:val="TextBody"/>
        <w:bidi w:val="0"/>
        <w:spacing w:before="0" w:after="0"/>
        <w:ind w:left="0" w:right="0" w:hanging="0"/>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if any, per right;</w:t>
            </w:r>
          </w:p>
        </w:tc>
      </w:tr>
    </w:tbl>
    <w:p>
      <w:pPr>
        <w:pStyle w:val="TextBody"/>
        <w:bidi w:val="0"/>
        <w:spacing w:before="0" w:after="0"/>
        <w:ind w:left="0" w:right="0" w:firstLine="72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payable for Class A Common Stock, preferred stock or other securities upon the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rights issued or to be issued to each holder;</w:t>
            </w:r>
          </w:p>
        </w:tc>
      </w:tr>
    </w:tbl>
    <w:p>
      <w:pPr>
        <w:pStyle w:val="TextBody"/>
        <w:bidi w:val="0"/>
        <w:spacing w:before="0" w:after="0"/>
        <w:ind w:left="0" w:right="0" w:firstLine="72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terms of Class A Common Stock, preferred stock or other securities which may be purchased per right;</w:t>
            </w:r>
          </w:p>
        </w:tc>
      </w:tr>
    </w:tbl>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are transferable;</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rights, including the terms, procedures and limitations relating to the exchange and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17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holder’s ability to exercise the rights shall commence, and the date on which the rights shall expire;</w:t>
            </w:r>
          </w:p>
        </w:tc>
      </w:tr>
    </w:tbl>
    <w:p>
      <w:pPr>
        <w:pStyle w:val="TextBody"/>
        <w:bidi w:val="0"/>
        <w:spacing w:before="0" w:after="0"/>
        <w:ind w:left="0" w:right="0" w:hanging="0"/>
        <w:jc w:val="left"/>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17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may include an over-subscription privilege with respect to unsubscribed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purchase arrangement entered into by us in connection with the offering of such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applicable securities purchased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with one or more underwriters or other purchasers, pursuant to which the underwriters or other purchasers may be required to purchase any securities remaining unsubscribed for after such offering,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rights that we may offer will not necessarily be complete and will be qualified in its entirety by reference to the applicable rights certificate, which will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evidence units by unit certificates that we issue under a separate unit agreement. We may issue the units under a unit agreement between us and one or more unit agents. If we elect to enter into a unit agreement with a unit agent, the unit agent will act solely as our agent in connection with the units and will not assume any obligation or relationship of agency or trust for or with any registered holders of units or beneficial owners of units. We will indicate the name and address and other information regarding the unit agent in the applicable prospectus supplement relating to a particular series of units if we elect to use a unit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unit agreement under which the units will be issued and any provisions of the unit agreement that differ from those described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provisions regarding our Class A Common Stock, preferred stock, debt securities, warrants and rights as described in this prospectus will apply to each unit to the extent such unit consists of shares of our Class A Common Stock, preferred stock, debt securities, warrants and/or rights.</w:t>
      </w:r>
    </w:p>
    <w:p>
      <w:pPr>
        <w:pStyle w:val="TextBody"/>
        <w:bidi w:val="0"/>
        <w:spacing w:before="0" w:after="0"/>
        <w:ind w:left="0" w:right="0" w:hanging="0"/>
        <w:jc w:val="left"/>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pursuant to this prospectus from time to time in one or more transactions,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underwriters or dealers;</w:t>
            </w:r>
          </w:p>
        </w:tc>
      </w:tr>
    </w:tbl>
    <w:p>
      <w:pPr>
        <w:pStyle w:val="TextBody"/>
        <w:bidi w:val="0"/>
        <w:spacing w:before="0" w:after="0"/>
        <w:ind w:left="0" w:right="0" w:firstLine="72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ind w:left="0" w:right="0" w:firstLine="720"/>
        <w:jc w:val="left"/>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by us to purchasers;</w:t>
            </w:r>
          </w:p>
        </w:tc>
      </w:tr>
    </w:tbl>
    <w:p>
      <w:pPr>
        <w:pStyle w:val="TextBody"/>
        <w:bidi w:val="0"/>
        <w:spacing w:before="0" w:after="0"/>
        <w:ind w:left="0" w:right="0" w:firstLine="72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 rights offering;</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“at the market” offerings within the meaning of Rule 415(a)(4) of the Securities Act to or through a market maker or into an existing trading market on an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these methods; or</w:t>
            </w:r>
          </w:p>
        </w:tc>
      </w:tr>
    </w:tbl>
    <w:p>
      <w:pPr>
        <w:pStyle w:val="TextBody"/>
        <w:bidi w:val="0"/>
        <w:spacing w:before="0" w:after="0"/>
        <w:ind w:left="0" w:right="0" w:hanging="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 permitted by applicable law and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applicable prospectus supplement will describe the terms of the offering of the securities, including: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any underwriters, if any, and if required, any dealers or agents;</w:t>
            </w:r>
          </w:p>
        </w:tc>
      </w:tr>
    </w:tbl>
    <w:p>
      <w:pPr>
        <w:pStyle w:val="TextBody"/>
        <w:bidi w:val="0"/>
        <w:spacing w:before="0" w:after="0"/>
        <w:ind w:left="0" w:right="0" w:firstLine="720"/>
        <w:jc w:val="left"/>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 and the proceeds that we will receive from the sale;</w:t>
            </w:r>
          </w:p>
        </w:tc>
      </w:tr>
    </w:tbl>
    <w:p>
      <w:pPr>
        <w:pStyle w:val="TextBody"/>
        <w:bidi w:val="0"/>
        <w:spacing w:before="0" w:after="0"/>
        <w:ind w:left="0" w:right="0" w:firstLine="72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and other items constituting underwriters’ compensation;</w:t>
            </w:r>
          </w:p>
        </w:tc>
      </w:tr>
    </w:tbl>
    <w:p>
      <w:pPr>
        <w:pStyle w:val="TextBody"/>
        <w:bidi w:val="0"/>
        <w:spacing w:before="0" w:after="0"/>
        <w:ind w:left="0" w:right="0" w:firstLine="72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commissions paid to agents;</w:t>
            </w:r>
          </w:p>
        </w:tc>
      </w:tr>
    </w:tbl>
    <w:p>
      <w:pPr>
        <w:pStyle w:val="TextBody"/>
        <w:bidi w:val="0"/>
        <w:spacing w:before="0" w:after="0"/>
        <w:ind w:left="0" w:right="0" w:firstLine="72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w:t>
            </w:r>
          </w:p>
        </w:tc>
      </w:tr>
    </w:tbl>
    <w:p>
      <w:pPr>
        <w:pStyle w:val="TextBody"/>
        <w:bidi w:val="0"/>
        <w:spacing w:before="0" w:after="0"/>
        <w:ind w:left="0" w:right="0" w:firstLine="72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arrangements;</w:t>
            </w:r>
          </w:p>
        </w:tc>
      </w:tr>
    </w:tbl>
    <w:p>
      <w:pPr>
        <w:pStyle w:val="TextBody"/>
        <w:bidi w:val="0"/>
        <w:spacing w:before="0" w:after="0"/>
        <w:ind w:left="0" w:right="0" w:firstLine="72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risk factors applicable to the securities that we propose to sell; and</w:t>
            </w:r>
          </w:p>
        </w:tc>
      </w:tr>
    </w:tbl>
    <w:p>
      <w:pPr>
        <w:pStyle w:val="TextBody"/>
        <w:bidi w:val="0"/>
        <w:spacing w:before="0" w:after="0"/>
        <w:ind w:left="0" w:right="0" w:firstLine="72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firstLine="72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23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xml:space="preserve">● </w:t>
            </w:r>
          </w:p>
        </w:tc>
        <w:tc>
          <w:tcPr>
            <w:tcW w:w="6125" w:type="dxa"/>
            <w:tcBorders/>
            <w:vAlign w:val="center"/>
          </w:tcPr>
          <w:p>
            <w:pPr>
              <w:pStyle w:val="TableContents"/>
              <w:bidi w:val="0"/>
              <w:spacing w:before="0" w:after="283"/>
              <w:jc w:val="both"/>
              <w:rPr/>
            </w:pPr>
            <w:r>
              <w:rPr>
                <w:rFonts w:ascii="Times New Roman;Times;Serif" w:hAnsi="Times New Roman;Times;Serif"/>
                <w:sz w:val="20"/>
              </w:rPr>
              <w:t>We may sell the securities from time to time in one or more transactions at:</w:t>
            </w:r>
            <w:r>
              <w:rPr/>
              <w:t xml:space="preserve"> </w:t>
            </w:r>
          </w:p>
        </w:tc>
      </w:tr>
    </w:tbl>
    <w:p>
      <w:pPr>
        <w:pStyle w:val="TextBody"/>
        <w:bidi w:val="0"/>
        <w:spacing w:before="0" w:after="0"/>
        <w:ind w:left="0" w:right="0" w:firstLine="72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w:t>
            </w:r>
          </w:p>
        </w:tc>
      </w:tr>
    </w:tbl>
    <w:p>
      <w:pPr>
        <w:pStyle w:val="TextBody"/>
        <w:bidi w:val="0"/>
        <w:spacing w:before="0" w:after="0"/>
        <w:ind w:left="0" w:right="0" w:firstLine="1440"/>
        <w:jc w:val="left"/>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firstLine="144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such prevailing market prices; or</w:t>
            </w:r>
          </w:p>
        </w:tc>
      </w:tr>
    </w:tbl>
    <w:p>
      <w:pPr>
        <w:pStyle w:val="TextBody"/>
        <w:bidi w:val="0"/>
        <w:spacing w:before="0" w:after="0"/>
        <w:ind w:left="0" w:right="0" w:firstLine="144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name or names of any underwriters, dealers or agents and the purchase price of the securities in a prospectus supplement relating to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may receive compensation from us or from purchasers of the securities, for whom they may act as agents, in the form of discounts, concessions or commissions. Underwriters may sell the securities to or through dealers, and these dealers may receive compensation in the form of discounts, concessions or commissions from the underwriters and/or commissions from the purchasers for whom they may act as agents, which is not expected to exceed that customary in the types of transactions involved. Underwriters, dealers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could make sales in privately negotiated transactions and/or any other method permitted by law, including sales deemed to be an “at-the-market” offering, sales made directly on The Nasdaq Capital Market, or such other exchange or automated quotation system on which our securities trade, or sales made to or through a market maker other than on an exchange. The name of any such underwriter or agent involved in the offer and sale of our securities, the amounts underwritten, and the nature of its obligations to take our securities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each series of the securities will be a new issue with no established trading market, other than our Class A Common Stock, which is currently traded on The Nasdaq Capital Market. We may elect to list any of the securities on an exchange but are not obligated to do so. It is possible that one or more underwriters may make a market in a series of the securities, but underwriters will not be obligated to do so and may discontinue any market making at any time without notice. Therefore, we can give no assurance about the liquidity of or the trading market for any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Inc. (“FINRA”), the maximum aggregate discounts, commissions, agency fees or other items constituting underwriting compensation to be received by any FINRA member or independent broker-dealer will not exceed 8% of the aggregate offering price of the securities offered pursuant to this prospectus and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or our affiliates may engage in transactions with these underwriters, dealers and agents in the ordinary course of business. Underwriters have from time to time in the past provided, and may from time to time in the future provide, investment banking services to us for which they have in the past received, and may in the future receive, customary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In this case, no underwriters or agents would be involved. We may also sell the securities through agents designated by us from time to time. In the applicable prospectus supplement, we will name any agent involved in the offer, sale or resale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Remarketing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 indicate in the applicable prospectus supplement, we may authorize agents, underwriters or dealers to solicit offers from certain types of institutions to purchase securities from us at the public offering price under delayed delivery contracts. Institutions with which we may make these delayed delivery contracts include commercial and savings banks, insurance companies, pension funds, investment companies, educational and charitable institutions and others. These contracts would provide for payment and delivery on a specified date in the future. The contracts would be subject only to those conditions described in the applicable prospectus supplement. The obligations of any purchaser under any such delayed delivery contract will be subject to the condition that the purchase of the securities shall not at the time of delivery be prohibited under the laws of the jurisdiction to which the purchaser is subject. The underwriters and other agents will not have any responsibility with regard to the validity or performance of these delayed delivery contracts. The applicable prospectus supplement will describe the commission payable for solicitation of those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pStyle w:val="TextBody"/>
        <w:bidi w:val="0"/>
        <w:spacing w:before="0" w:after="0"/>
        <w:ind w:left="0" w:right="0" w:hanging="0"/>
        <w:jc w:val="both"/>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us by McCarter &amp; English, LLP. Additional legal matters may be passed upon for us or any underwriters, dealers or agents, by counsel that we will name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consolidated financial statements of Elite Express Holding Inc. and its subsidiary as of November 30, 2025 and for the year then ended, incorporated in this prospectus by reference to our </w:t>
      </w:r>
      <w:hyperlink r:id="rId5">
        <w:r>
          <w:rPr>
            <w:rStyle w:val="InternetLink"/>
            <w:rFonts w:ascii="Times New Roman;Times;Serif" w:hAnsi="Times New Roman;Times;Serif"/>
            <w:b w:val="false"/>
            <w:i w:val="false"/>
            <w:caps w:val="false"/>
            <w:smallCaps w:val="false"/>
            <w:sz w:val="20"/>
          </w:rPr>
          <w:t>Annual Report on Form 10-K for the fiscal year ended November 30, 2025</w:t>
        </w:r>
      </w:hyperlink>
      <w:r>
        <w:rPr>
          <w:rFonts w:ascii="Times New Roman;Times;Serif" w:hAnsi="Times New Roman;Times;Serif"/>
          <w:b w:val="false"/>
          <w:i w:val="false"/>
          <w:caps w:val="false"/>
          <w:smallCaps w:val="false"/>
          <w:sz w:val="20"/>
        </w:rPr>
        <w:t>, have been so incorporated in reliance on the report of Audit Alliance LLP, an independent registered public accounting firm, given on the authority of that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Elite Express Holding Inc. as of November 30, 2024 (Successor Company), the financial statements of JAR Transportation Inc. as of November 30, 2023 (Predecessor Company), and the related statements for the periods described in the report of Golden Eagle CPAs LLC, incorporated in this prospectus by reference to our Annual Report on Form 10-K for the fiscal year ended November 30, 2025, have been so incorporated in reliance on the report of Golden Eagle CPAs LLC, an independent registered public accounting firm, given on the authority of that firm as experts in auditing and accounting.</w:t>
      </w:r>
    </w:p>
    <w:p>
      <w:pPr>
        <w:pStyle w:val="TextBody"/>
        <w:bidi w:val="0"/>
        <w:spacing w:before="0" w:after="0"/>
        <w:ind w:left="0" w:right="0" w:hanging="0"/>
        <w:jc w:val="both"/>
        <w:rPr>
          <w:caps w:val="false"/>
          <w:smallCaps w:val="false"/>
        </w:rPr>
      </w:pPr>
      <w:r>
        <w:rPr>
          <w:caps w:val="false"/>
          <w:smallCaps w:val="false"/>
        </w:rPr>
        <w:t> </w:t>
      </w: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constitutes a part of a registration statement on Form S-3 filed under the Securities Act. As permitted by the SEC’s rules, this prospectus and any prospectus supplement, which form a part of the registration statement, do not contain all the information that is included in the registration statement. You will find additional information about us in the registration statement and its exhibits. Any statements made in this prospectus or any prospectus supplement concerning legal documents are not necessarily complete and you should read the documents that are filed as exhibits to the registration statement or otherwise filed with the SEC for a more complete understanding of the document or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are available on the SEC’s website at www.sec.gov and through our investor relations website at https://www.eliteexpressholding.com. Information contained on, or accessible through, our website is not incorporated by reference into this prospectus and should not be considered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permits us to “incorporate by reference” into this prospectus the information contained in documents we file with the SEC, which means that we can disclose important information to you by referring you to those documents. Information that is incorporated by reference is considered to be part of this prospectus and you should read it with the same care that you read this prospectus. Information that we file later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 except as superseded, supplemented or modified by this prospectus, the documents listed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6">
              <w:r>
                <w:rPr>
                  <w:rStyle w:val="InternetLink"/>
                  <w:rFonts w:ascii="Times New Roman;Times;Serif" w:hAnsi="Times New Roman;Times;Serif"/>
                  <w:sz w:val="20"/>
                </w:rPr>
                <w:t>Annual Report on Form 10-K for the fiscal year ended November 30, 2025</w:t>
              </w:r>
            </w:hyperlink>
            <w:r>
              <w:rPr>
                <w:rFonts w:ascii="Times New Roman;Times;Serif" w:hAnsi="Times New Roman;Times;Serif"/>
                <w:sz w:val="20"/>
              </w:rPr>
              <w:t xml:space="preserve">, filed with the SEC on February 27, 2026, as amended by </w:t>
            </w:r>
            <w:hyperlink r:id="rId7">
              <w:r>
                <w:rPr>
                  <w:rStyle w:val="InternetLink"/>
                  <w:rFonts w:ascii="Times New Roman;Times;Serif" w:hAnsi="Times New Roman;Times;Serif"/>
                  <w:sz w:val="20"/>
                </w:rPr>
                <w:t>Amendment No. 1 on Form 10-K/A</w:t>
              </w:r>
            </w:hyperlink>
            <w:r>
              <w:rPr>
                <w:rFonts w:ascii="Times New Roman;Times;Serif" w:hAnsi="Times New Roman;Times;Serif"/>
                <w:sz w:val="20"/>
              </w:rPr>
              <w:t xml:space="preserve"> filed with the SEC on March 18,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our Quarterly Reports on Form 10-Q for the fiscal quarters ended </w:t>
            </w:r>
            <w:hyperlink r:id="rId8">
              <w:r>
                <w:rPr>
                  <w:rStyle w:val="InternetLink"/>
                  <w:rFonts w:ascii="Times New Roman;Times;Serif" w:hAnsi="Times New Roman;Times;Serif"/>
                  <w:sz w:val="20"/>
                </w:rPr>
                <w:t>February 28,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May 31, 2026</w:t>
              </w:r>
            </w:hyperlink>
            <w:r>
              <w:rPr>
                <w:rFonts w:ascii="Times New Roman;Times;Serif" w:hAnsi="Times New Roman;Times;Serif"/>
                <w:sz w:val="20"/>
              </w:rPr>
              <w:t>, filed with the SEC on April 13, 2026 and July 14, 2026,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
        <w:gridCol w:w="193"/>
        <w:gridCol w:w="9914"/>
      </w:tblGrid>
      <w:tr>
        <w:trPr/>
        <w:tc>
          <w:tcPr>
            <w:tcW w:w="98" w:type="dxa"/>
            <w:tcBorders/>
            <w:vAlign w:val="center"/>
          </w:tcPr>
          <w:p>
            <w:pPr>
              <w:pStyle w:val="TableContents"/>
              <w:bidi w:val="0"/>
              <w:spacing w:before="0" w:after="283"/>
              <w:jc w:val="left"/>
              <w:rPr/>
            </w:pPr>
            <w:r>
              <w:rPr/>
              <w:t xml:space="preserve">  </w:t>
            </w:r>
          </w:p>
        </w:tc>
        <w:tc>
          <w:tcPr>
            <w:tcW w:w="193" w:type="dxa"/>
            <w:tcBorders/>
            <w:vAlign w:val="center"/>
          </w:tcPr>
          <w:p>
            <w:pPr>
              <w:pStyle w:val="TableContents"/>
              <w:bidi w:val="0"/>
              <w:spacing w:before="0" w:after="283"/>
              <w:jc w:val="left"/>
              <w:rPr/>
            </w:pPr>
            <w:r>
              <w:rPr/>
              <w:t xml:space="preserve">● </w:t>
            </w:r>
          </w:p>
        </w:tc>
        <w:tc>
          <w:tcPr>
            <w:tcW w:w="9914" w:type="dxa"/>
            <w:tcBorders/>
            <w:vAlign w:val="center"/>
          </w:tcPr>
          <w:p>
            <w:pPr>
              <w:pStyle w:val="TableContents"/>
              <w:bidi w:val="0"/>
              <w:spacing w:before="0" w:after="283"/>
              <w:jc w:val="both"/>
              <w:rPr/>
            </w:pPr>
            <w:r>
              <w:rPr>
                <w:sz w:val="20"/>
              </w:rPr>
              <w:t xml:space="preserve">our Current Reports on Form 8-K filed with the SEC on </w:t>
            </w:r>
            <w:hyperlink r:id="rId10">
              <w:r>
                <w:rPr>
                  <w:rStyle w:val="InternetLink"/>
                  <w:sz w:val="20"/>
                </w:rPr>
                <w:t>December 5, 2025</w:t>
              </w:r>
            </w:hyperlink>
            <w:r>
              <w:rPr>
                <w:sz w:val="20"/>
              </w:rPr>
              <w:t xml:space="preserve">, </w:t>
            </w:r>
            <w:hyperlink r:id="rId11">
              <w:r>
                <w:rPr>
                  <w:rStyle w:val="InternetLink"/>
                  <w:sz w:val="20"/>
                </w:rPr>
                <w:t>December 16, 2025</w:t>
              </w:r>
            </w:hyperlink>
            <w:r>
              <w:rPr>
                <w:sz w:val="20"/>
              </w:rPr>
              <w:t xml:space="preserve">, </w:t>
            </w:r>
            <w:hyperlink r:id="rId12">
              <w:r>
                <w:rPr>
                  <w:rStyle w:val="InternetLink"/>
                  <w:sz w:val="20"/>
                </w:rPr>
                <w:t>March 11, 2026</w:t>
              </w:r>
            </w:hyperlink>
            <w:r>
              <w:rPr>
                <w:sz w:val="20"/>
              </w:rPr>
              <w:t xml:space="preserve">, </w:t>
            </w:r>
            <w:hyperlink r:id="rId13">
              <w:r>
                <w:rPr>
                  <w:rStyle w:val="InternetLink"/>
                  <w:sz w:val="20"/>
                </w:rPr>
                <w:t>April 30, 2026</w:t>
              </w:r>
            </w:hyperlink>
            <w:r>
              <w:rPr>
                <w:sz w:val="20"/>
              </w:rPr>
              <w:t xml:space="preserve">, </w:t>
            </w:r>
            <w:hyperlink r:id="rId14">
              <w:r>
                <w:rPr>
                  <w:rStyle w:val="InternetLink"/>
                  <w:sz w:val="20"/>
                </w:rPr>
                <w:t>June 8, 2026</w:t>
              </w:r>
            </w:hyperlink>
            <w:r>
              <w:rPr>
                <w:sz w:val="20"/>
              </w:rPr>
              <w:t xml:space="preserve">, </w:t>
            </w:r>
            <w:hyperlink r:id="rId15">
              <w:r>
                <w:rPr>
                  <w:rStyle w:val="InternetLink"/>
                  <w:sz w:val="20"/>
                </w:rPr>
                <w:t>August 7, 2026</w:t>
              </w:r>
            </w:hyperlink>
            <w:r>
              <w:rPr>
                <w:sz w:val="20"/>
              </w:rPr>
              <w:t xml:space="preserve"> and </w:t>
            </w:r>
            <w:hyperlink r:id="rId16">
              <w:r>
                <w:rPr>
                  <w:rStyle w:val="InternetLink"/>
                  <w:sz w:val="20"/>
                </w:rPr>
                <w:t>September 8, 2026</w:t>
              </w:r>
            </w:hyperlink>
            <w:r>
              <w:rPr>
                <w:sz w:val="20"/>
              </w:rPr>
              <w:t xml:space="preserve">, in each case excluding any information furnished rather than filed, and any amendments to those reports;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Class A Common Stock contained in our registration statement on </w:t>
            </w:r>
            <w:hyperlink r:id="rId17">
              <w:r>
                <w:rPr>
                  <w:rStyle w:val="InternetLink"/>
                  <w:rFonts w:ascii="Times New Roman;Times;Serif" w:hAnsi="Times New Roman;Times;Serif"/>
                  <w:sz w:val="20"/>
                </w:rPr>
                <w:t>Form 8-A</w:t>
              </w:r>
            </w:hyperlink>
            <w:r>
              <w:rPr>
                <w:rFonts w:ascii="Times New Roman;Times;Serif" w:hAnsi="Times New Roman;Times;Serif"/>
                <w:sz w:val="20"/>
              </w:rPr>
              <w:t xml:space="preserve"> filed with the SEC on August 20, 2025 under Section 12(b) of the Exchange Act, including any amendment or report filed for the purpose of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additional documents that we may file with the SEC under Sections 13(a), 13(c), 14 or 15(d) of the Exchange Act after the date hereof but before the completion or termination of this offering (excluding any information not deemed “filed” with the SEC). 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including any beneficial owner, upon the written or oral request of such person, a copy of any or all of the documents incorporated by reference herein, including exhibits. Requests should be directed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758-0650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these filings are also available on our investor relations website at https://www.eliteexpressholding.com. For other ways to obtain a copy of these filings, please refer to “Where You Can Find More Information”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estimate of the fees and expenses relating to the issuance and distribution of the securities being registered hereby, other than underwriting discounts and commissions, all of which shall be borne by the registrant. All of such fees and expenses, except for the SEC registration fee, are estimated:</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3845"/>
        <w:gridCol w:w="60"/>
        <w:gridCol w:w="125"/>
        <w:gridCol w:w="845"/>
        <w:gridCol w:w="75"/>
      </w:tblGrid>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filing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fees and expenses depend on the securities offered and the number of issuances and, accordingly, cannot be estimated at this time. An estimate of the aggregate expenses in connection with the sale and distribution of the securities being offered will be included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entity, against expenses, including attorneys’ fees, judgments, fines and amounts paid in settlement actually and reasonably incurred by the person in connection with the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also provides that a corporation may indemnify such a person in an action by or in the right of the corporation against expenses, including attorneys’ fees, actually and reasonably incurred by the person in connection with the defense or settlement of the action if the person acted in good faith and in a manner the person reasonably believed to be in or not opposed to the best interests of the corporation, except that no indemnification may be made with respect to any claim, issue or matter as to which the person has been adjudged liable to the corporation unless and only to the extent that the Delaware Court of Chancery or the court in which the action was brought determines that the person is fairly and reasonably entitled to indemnity for such expenses as the court deems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present or former director or officer has been successful on the merits or otherwise in defense of any proceeding referred to above, or in defense of any claim, issue or matter therein, Section 145 requires the corporation to indemnify that person against expenses, including attorneys’ fees, actually and reasonably incurred in connection therewith. Section 145 also permits a corporation to purchase and maintain insurance on behalf of its directors, officers, employees and agents against liability asserted against or incurred by such persons in such capacity, whether or not the corporation would have the power to indemnify them against such liability under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to the fullest extent permitted by the DGCL, no director will be personally liable to us or our stockholders for monetary damages for breach of fiduciary duty as a director. Our Bylaws provide for indemnification of our directors and officers to the fullest extent permitted by applicable law and for advancement of expenses, subject to the conditions set forth therein. Our Bylaws also permit us to maintain insurance to protect us and any director, officer, employee or agent against expense, liability or loss. We purchased directors’ and officers’ liability insurance on August 21, 2025 and renewed on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 of exhibits in the Exhibit Index to this registration statement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245"/>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200"/>
        <w:gridCol w:w="79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the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Filing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undertakings set forth in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this registration statement;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245"/>
        <w:gridCol w:w="88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as amended,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 (b)(3) shall be deemed to be part of this registration statement as of the date the filed prospectus was deemed part of and included in this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 (b)(2),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200"/>
        <w:gridCol w:w="40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305"/>
        <w:gridCol w:w="885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b_001"/>
      <w:bookmarkEnd w:id="1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certifies that it has reasonable grounds to believe that it meets all of the requirements for filing on Form S-3 and has duly caused this Amendment No. 1 to the Registration Statement on Form S-3 to be signed on its behalf by the undersigned, thereunto duly authorized, in the City of Laguna Hills, State of California, on October 9, 2026. </w:t>
      </w:r>
    </w:p>
    <w:p>
      <w:pPr>
        <w:pStyle w:val="TextBody"/>
        <w:bidi w:val="0"/>
        <w:spacing w:before="0" w:after="0"/>
        <w:ind w:left="0" w:right="0" w:hanging="0"/>
        <w:jc w:val="both"/>
        <w:rPr>
          <w:caps w:val="false"/>
          <w:smallCaps w:val="false"/>
        </w:rPr>
      </w:pPr>
      <w:r>
        <w:rPr>
          <w:caps w:val="false"/>
          <w:smallCaps w:val="false"/>
        </w:rPr>
        <w:t> </w:t>
      </w:r>
    </w:p>
    <w:tbl>
      <w:tblPr>
        <w:tblW w:w="4241" w:type="dxa"/>
        <w:jc w:val="left"/>
        <w:tblInd w:w="0" w:type="dxa"/>
        <w:tblLayout w:type="fixed"/>
        <w:tblCellMar>
          <w:top w:w="0" w:type="dxa"/>
          <w:left w:w="0" w:type="dxa"/>
          <w:bottom w:w="0" w:type="dxa"/>
          <w:right w:w="0" w:type="dxa"/>
        </w:tblCellMar>
      </w:tblPr>
      <w:tblGrid>
        <w:gridCol w:w="135"/>
        <w:gridCol w:w="202"/>
        <w:gridCol w:w="851"/>
        <w:gridCol w:w="3053"/>
      </w:tblGrid>
      <w:tr>
        <w:trPr/>
        <w:tc>
          <w:tcPr>
            <w:tcW w:w="135" w:type="dxa"/>
            <w:tcBorders/>
            <w:vAlign w:val="center"/>
          </w:tcPr>
          <w:p>
            <w:pPr>
              <w:pStyle w:val="TableContents"/>
              <w:bidi w:val="0"/>
              <w:spacing w:before="0" w:after="283"/>
              <w:jc w:val="left"/>
              <w:rPr/>
            </w:pPr>
            <w:r>
              <w:rPr/>
              <w:t xml:space="preserve">  </w:t>
            </w:r>
          </w:p>
        </w:tc>
        <w:tc>
          <w:tcPr>
            <w:tcW w:w="4106" w:type="dxa"/>
            <w:gridSpan w:val="3"/>
            <w:tcBorders/>
            <w:vAlign w:val="center"/>
          </w:tcPr>
          <w:p>
            <w:pPr>
              <w:pStyle w:val="TableContents"/>
              <w:bidi w:val="0"/>
              <w:spacing w:before="0" w:after="283"/>
              <w:jc w:val="left"/>
              <w:rPr/>
            </w:pPr>
            <w:r>
              <w:rPr>
                <w:b/>
                <w:sz w:val="20"/>
              </w:rPr>
              <w:t>ELITE EXPRESS HOLDING INC.</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4106" w:type="dxa"/>
            <w:gridSpan w:val="3"/>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202" w:type="dxa"/>
            <w:tcBorders/>
            <w:vAlign w:val="center"/>
          </w:tcPr>
          <w:p>
            <w:pPr>
              <w:pStyle w:val="TableContents"/>
              <w:bidi w:val="0"/>
              <w:spacing w:before="0" w:after="283"/>
              <w:jc w:val="left"/>
              <w:rPr/>
            </w:pPr>
            <w:r>
              <w:rPr/>
              <w:t xml:space="preserve">  </w:t>
            </w:r>
          </w:p>
        </w:tc>
        <w:tc>
          <w:tcPr>
            <w:tcW w:w="851" w:type="dxa"/>
            <w:tcBorders/>
            <w:vAlign w:val="center"/>
          </w:tcPr>
          <w:p>
            <w:pPr>
              <w:pStyle w:val="TableContents"/>
              <w:bidi w:val="0"/>
              <w:spacing w:before="0" w:after="283"/>
              <w:jc w:val="left"/>
              <w:rPr>
                <w:sz w:val="20"/>
              </w:rPr>
            </w:pPr>
            <w:r>
              <w:rPr>
                <w:sz w:val="20"/>
              </w:rPr>
              <w:t xml:space="preserve">By: </w:t>
            </w:r>
          </w:p>
        </w:tc>
        <w:tc>
          <w:tcPr>
            <w:tcW w:w="3053" w:type="dxa"/>
            <w:tcBorders>
              <w:bottom w:val="single" w:sz="8" w:space="0" w:color="000000"/>
            </w:tcBorders>
            <w:tcMar>
              <w:bottom w:w="28" w:type="dxa"/>
            </w:tcMar>
            <w:vAlign w:val="center"/>
          </w:tcPr>
          <w:p>
            <w:pPr>
              <w:pStyle w:val="TableContents"/>
              <w:bidi w:val="0"/>
              <w:spacing w:before="0" w:after="283"/>
              <w:jc w:val="left"/>
              <w:rPr/>
            </w:pPr>
            <w:r>
              <w:rPr>
                <w:sz w:val="20"/>
              </w:rPr>
              <w:t>/s/ Yidan Chen</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202" w:type="dxa"/>
            <w:tcBorders/>
            <w:vAlign w:val="center"/>
          </w:tcPr>
          <w:p>
            <w:pPr>
              <w:pStyle w:val="TableContents"/>
              <w:bidi w:val="0"/>
              <w:spacing w:before="0" w:after="283"/>
              <w:jc w:val="left"/>
              <w:rPr/>
            </w:pPr>
            <w:r>
              <w:rPr/>
              <w:t xml:space="preserve">  </w:t>
            </w:r>
          </w:p>
        </w:tc>
        <w:tc>
          <w:tcPr>
            <w:tcW w:w="3904" w:type="dxa"/>
            <w:gridSpan w:val="2"/>
            <w:tcBorders/>
            <w:vAlign w:val="center"/>
          </w:tcPr>
          <w:p>
            <w:pPr>
              <w:pStyle w:val="TableContents"/>
              <w:bidi w:val="0"/>
              <w:spacing w:before="0" w:after="283"/>
              <w:jc w:val="left"/>
              <w:rPr/>
            </w:pPr>
            <w:r>
              <w:rPr>
                <w:sz w:val="20"/>
              </w:rPr>
              <w:t>Yidan Chen</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202" w:type="dxa"/>
            <w:tcBorders/>
            <w:vAlign w:val="center"/>
          </w:tcPr>
          <w:p>
            <w:pPr>
              <w:pStyle w:val="TableContents"/>
              <w:bidi w:val="0"/>
              <w:spacing w:before="0" w:after="283"/>
              <w:jc w:val="left"/>
              <w:rPr/>
            </w:pPr>
            <w:r>
              <w:rPr/>
              <w:t xml:space="preserve">  </w:t>
            </w:r>
          </w:p>
        </w:tc>
        <w:tc>
          <w:tcPr>
            <w:tcW w:w="3904" w:type="dxa"/>
            <w:gridSpan w:val="2"/>
            <w:tcBorders/>
            <w:vAlign w:val="center"/>
          </w:tcPr>
          <w:p>
            <w:pPr>
              <w:pStyle w:val="TableContents"/>
              <w:bidi w:val="0"/>
              <w:spacing w:before="0" w:after="283"/>
              <w:jc w:val="left"/>
              <w:rPr/>
            </w:pPr>
            <w:r>
              <w:rPr>
                <w:sz w:val="20"/>
              </w:rPr>
              <w:t>Chief Executive Officer, President and Director</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1535"/>
        <w:gridCol w:w="120"/>
        <w:gridCol w:w="5075"/>
        <w:gridCol w:w="120"/>
        <w:gridCol w:w="1400"/>
      </w:tblGrid>
      <w:tr>
        <w:trPr/>
        <w:tc>
          <w:tcPr>
            <w:tcW w:w="1535" w:type="dxa"/>
            <w:tcBorders/>
            <w:vAlign w:val="center"/>
          </w:tcPr>
          <w:p>
            <w:pPr>
              <w:pStyle w:val="TableContents"/>
              <w:bidi w:val="0"/>
              <w:spacing w:before="0" w:after="283"/>
              <w:jc w:val="center"/>
              <w:rPr/>
            </w:pPr>
            <w:r>
              <w:rPr>
                <w:b/>
                <w:sz w:val="20"/>
              </w:rPr>
              <w:t>Signature</w:t>
            </w:r>
            <w:r>
              <w:rPr/>
              <w:t xml:space="preserve"> </w:t>
            </w:r>
          </w:p>
        </w:tc>
        <w:tc>
          <w:tcPr>
            <w:tcW w:w="120" w:type="dxa"/>
            <w:tcBorders/>
            <w:vAlign w:val="center"/>
          </w:tcPr>
          <w:p>
            <w:pPr>
              <w:pStyle w:val="TableContents"/>
              <w:bidi w:val="0"/>
              <w:spacing w:before="0" w:after="283"/>
              <w:jc w:val="center"/>
              <w:rPr/>
            </w:pPr>
            <w:r>
              <w:rPr/>
              <w:t xml:space="preserve">  </w:t>
            </w:r>
          </w:p>
        </w:tc>
        <w:tc>
          <w:tcPr>
            <w:tcW w:w="5075" w:type="dxa"/>
            <w:tcBorders/>
            <w:vAlign w:val="center"/>
          </w:tcPr>
          <w:p>
            <w:pPr>
              <w:pStyle w:val="TableContents"/>
              <w:bidi w:val="0"/>
              <w:spacing w:before="0" w:after="283"/>
              <w:jc w:val="center"/>
              <w:rPr/>
            </w:pPr>
            <w:r>
              <w:rPr>
                <w:b/>
                <w:sz w:val="20"/>
              </w:rPr>
              <w:t>Title</w:t>
            </w:r>
            <w:r>
              <w:rPr/>
              <w:t xml:space="preserve"> </w:t>
            </w:r>
          </w:p>
        </w:tc>
        <w:tc>
          <w:tcPr>
            <w:tcW w:w="120" w:type="dxa"/>
            <w:tcBorders/>
            <w:vAlign w:val="center"/>
          </w:tcPr>
          <w:p>
            <w:pPr>
              <w:pStyle w:val="TableContents"/>
              <w:bidi w:val="0"/>
              <w:spacing w:before="0" w:after="283"/>
              <w:jc w:val="center"/>
              <w:rPr/>
            </w:pPr>
            <w:r>
              <w:rPr/>
              <w:t xml:space="preserve">  </w:t>
            </w:r>
          </w:p>
        </w:tc>
        <w:tc>
          <w:tcPr>
            <w:tcW w:w="1400" w:type="dxa"/>
            <w:tcBorders/>
            <w:vAlign w:val="center"/>
          </w:tcPr>
          <w:p>
            <w:pPr>
              <w:pStyle w:val="TableContents"/>
              <w:bidi w:val="0"/>
              <w:spacing w:before="0" w:after="283"/>
              <w:jc w:val="center"/>
              <w:rPr/>
            </w:pPr>
            <w:r>
              <w:rPr>
                <w:b/>
                <w:sz w:val="20"/>
              </w:rPr>
              <w:t>Date</w:t>
            </w:r>
            <w:r>
              <w:rPr/>
              <w:t xml:space="preserve"> </w:t>
            </w:r>
          </w:p>
        </w:tc>
      </w:tr>
      <w:tr>
        <w:trPr/>
        <w:tc>
          <w:tcPr>
            <w:tcW w:w="1535" w:type="dxa"/>
            <w:tcBorders/>
            <w:vAlign w:val="center"/>
          </w:tcPr>
          <w:p>
            <w:pPr>
              <w:pStyle w:val="TableContents"/>
              <w:bidi w:val="0"/>
              <w:spacing w:before="0" w:after="283"/>
              <w:jc w:val="left"/>
              <w:rPr/>
            </w:pPr>
            <w:r>
              <w:rPr>
                <w:sz w:val="20"/>
              </w:rPr>
              <w:t>/s/ Yidan Chen</w:t>
              <w:br/>
              <w:t>Yidan Chen</w:t>
            </w:r>
            <w:r>
              <w:rPr/>
              <w:t xml:space="preserve"> </w:t>
            </w:r>
          </w:p>
        </w:tc>
        <w:tc>
          <w:tcPr>
            <w:tcW w:w="120" w:type="dxa"/>
            <w:tcBorders/>
            <w:vAlign w:val="center"/>
          </w:tcPr>
          <w:p>
            <w:pPr>
              <w:pStyle w:val="TableContents"/>
              <w:bidi w:val="0"/>
              <w:spacing w:before="0" w:after="283"/>
              <w:jc w:val="left"/>
              <w:rPr/>
            </w:pPr>
            <w:r>
              <w:rPr/>
              <w:t xml:space="preserve">  </w:t>
            </w:r>
          </w:p>
        </w:tc>
        <w:tc>
          <w:tcPr>
            <w:tcW w:w="5075" w:type="dxa"/>
            <w:tcBorders/>
            <w:vAlign w:val="center"/>
          </w:tcPr>
          <w:p>
            <w:pPr>
              <w:pStyle w:val="TableContents"/>
              <w:bidi w:val="0"/>
              <w:spacing w:before="0" w:after="283"/>
              <w:jc w:val="left"/>
              <w:rPr/>
            </w:pPr>
            <w:r>
              <w:rPr>
                <w:sz w:val="20"/>
              </w:rPr>
              <w:t>Chief Executive Officer, President and Director</w:t>
              <w:br/>
              <w:t>(Principal Executive Officer)</w:t>
            </w:r>
            <w:r>
              <w:rPr/>
              <w:t xml:space="preserve"> </w:t>
            </w:r>
          </w:p>
        </w:tc>
        <w:tc>
          <w:tcPr>
            <w:tcW w:w="120" w:type="dxa"/>
            <w:tcBorders/>
            <w:vAlign w:val="center"/>
          </w:tcPr>
          <w:p>
            <w:pPr>
              <w:pStyle w:val="TableContents"/>
              <w:bidi w:val="0"/>
              <w:spacing w:before="0" w:after="283"/>
              <w:jc w:val="left"/>
              <w:rPr/>
            </w:pPr>
            <w:r>
              <w:rPr/>
              <w:t xml:space="preserve">  </w:t>
            </w:r>
          </w:p>
        </w:tc>
        <w:tc>
          <w:tcPr>
            <w:tcW w:w="1400" w:type="dxa"/>
            <w:tcBorders/>
            <w:vAlign w:val="center"/>
          </w:tcPr>
          <w:p>
            <w:pPr>
              <w:pStyle w:val="TableContents"/>
              <w:bidi w:val="0"/>
              <w:spacing w:before="0" w:after="283"/>
              <w:jc w:val="left"/>
              <w:rPr/>
            </w:pPr>
            <w:r>
              <w:rPr>
                <w:sz w:val="20"/>
              </w:rPr>
              <w:t>October 9, 2026</w:t>
            </w:r>
            <w:r>
              <w:rPr/>
              <w:t xml:space="preserve"> </w:t>
            </w:r>
          </w:p>
        </w:tc>
      </w:tr>
      <w:tr>
        <w:trPr/>
        <w:tc>
          <w:tcPr>
            <w:tcW w:w="1535" w:type="dxa"/>
            <w:tcBorders/>
            <w:vAlign w:val="center"/>
          </w:tcPr>
          <w:p>
            <w:pPr>
              <w:pStyle w:val="TableContents"/>
              <w:bidi w:val="0"/>
              <w:spacing w:before="0" w:after="283"/>
              <w:jc w:val="left"/>
              <w:rPr/>
            </w:pPr>
            <w:r>
              <w:rPr>
                <w:sz w:val="20"/>
              </w:rPr>
              <w:t>/s/ Ye Hua</w:t>
              <w:br/>
              <w:t>Ye Hua</w:t>
            </w:r>
            <w:r>
              <w:rPr/>
              <w:t xml:space="preserve"> </w:t>
            </w:r>
          </w:p>
        </w:tc>
        <w:tc>
          <w:tcPr>
            <w:tcW w:w="120" w:type="dxa"/>
            <w:tcBorders/>
            <w:vAlign w:val="center"/>
          </w:tcPr>
          <w:p>
            <w:pPr>
              <w:pStyle w:val="TableContents"/>
              <w:bidi w:val="0"/>
              <w:spacing w:before="0" w:after="283"/>
              <w:jc w:val="left"/>
              <w:rPr/>
            </w:pPr>
            <w:r>
              <w:rPr/>
              <w:t xml:space="preserve">  </w:t>
            </w:r>
          </w:p>
        </w:tc>
        <w:tc>
          <w:tcPr>
            <w:tcW w:w="5075" w:type="dxa"/>
            <w:tcBorders/>
            <w:vAlign w:val="center"/>
          </w:tcPr>
          <w:p>
            <w:pPr>
              <w:pStyle w:val="TableContents"/>
              <w:bidi w:val="0"/>
              <w:spacing w:before="0" w:after="283"/>
              <w:jc w:val="left"/>
              <w:rPr/>
            </w:pPr>
            <w:r>
              <w:rPr>
                <w:sz w:val="20"/>
              </w:rPr>
              <w:t>Chief Financial Officer</w:t>
              <w:br/>
              <w:t>(Principal Financial Officer and Principal Accounting Officer)</w:t>
            </w:r>
            <w:r>
              <w:rPr/>
              <w:t xml:space="preserve"> </w:t>
            </w:r>
          </w:p>
        </w:tc>
        <w:tc>
          <w:tcPr>
            <w:tcW w:w="120" w:type="dxa"/>
            <w:tcBorders/>
            <w:vAlign w:val="center"/>
          </w:tcPr>
          <w:p>
            <w:pPr>
              <w:pStyle w:val="TableContents"/>
              <w:bidi w:val="0"/>
              <w:spacing w:before="0" w:after="283"/>
              <w:jc w:val="left"/>
              <w:rPr/>
            </w:pPr>
            <w:r>
              <w:rPr/>
              <w:t xml:space="preserve">  </w:t>
            </w:r>
          </w:p>
        </w:tc>
        <w:tc>
          <w:tcPr>
            <w:tcW w:w="1400" w:type="dxa"/>
            <w:tcBorders/>
            <w:vAlign w:val="center"/>
          </w:tcPr>
          <w:p>
            <w:pPr>
              <w:pStyle w:val="TableContents"/>
              <w:bidi w:val="0"/>
              <w:spacing w:before="0" w:after="283"/>
              <w:jc w:val="left"/>
              <w:rPr/>
            </w:pPr>
            <w:r>
              <w:rPr>
                <w:sz w:val="20"/>
              </w:rPr>
              <w:t>October 9, 2026</w:t>
            </w:r>
            <w:r>
              <w:rPr/>
              <w:t xml:space="preserve"> </w:t>
            </w:r>
          </w:p>
        </w:tc>
      </w:tr>
      <w:tr>
        <w:trPr/>
        <w:tc>
          <w:tcPr>
            <w:tcW w:w="1535" w:type="dxa"/>
            <w:tcBorders/>
            <w:vAlign w:val="center"/>
          </w:tcPr>
          <w:p>
            <w:pPr>
              <w:pStyle w:val="TableContents"/>
              <w:bidi w:val="0"/>
              <w:spacing w:before="0" w:after="283"/>
              <w:jc w:val="left"/>
              <w:rPr/>
            </w:pPr>
            <w:r>
              <w:rPr>
                <w:sz w:val="20"/>
              </w:rPr>
              <w:t>/s/ Huan Liu</w:t>
              <w:br/>
              <w:t>Huan Liu</w:t>
            </w:r>
            <w:r>
              <w:rPr/>
              <w:t xml:space="preserve"> </w:t>
            </w:r>
          </w:p>
        </w:tc>
        <w:tc>
          <w:tcPr>
            <w:tcW w:w="120" w:type="dxa"/>
            <w:tcBorders/>
            <w:vAlign w:val="center"/>
          </w:tcPr>
          <w:p>
            <w:pPr>
              <w:pStyle w:val="TableContents"/>
              <w:bidi w:val="0"/>
              <w:spacing w:before="0" w:after="283"/>
              <w:jc w:val="left"/>
              <w:rPr/>
            </w:pPr>
            <w:r>
              <w:rPr/>
              <w:t xml:space="preserve">  </w:t>
            </w:r>
          </w:p>
        </w:tc>
        <w:tc>
          <w:tcPr>
            <w:tcW w:w="5075" w:type="dxa"/>
            <w:tcBorders/>
            <w:vAlign w:val="center"/>
          </w:tcPr>
          <w:p>
            <w:pPr>
              <w:pStyle w:val="TableContents"/>
              <w:bidi w:val="0"/>
              <w:spacing w:before="0" w:after="283"/>
              <w:jc w:val="left"/>
              <w:rPr/>
            </w:pPr>
            <w:r>
              <w:rPr>
                <w:sz w:val="20"/>
              </w:rPr>
              <w:t>Chairman of the Board of Directors</w:t>
            </w:r>
            <w:r>
              <w:rPr/>
              <w:t xml:space="preserve"> </w:t>
            </w:r>
          </w:p>
        </w:tc>
        <w:tc>
          <w:tcPr>
            <w:tcW w:w="120" w:type="dxa"/>
            <w:tcBorders/>
            <w:vAlign w:val="center"/>
          </w:tcPr>
          <w:p>
            <w:pPr>
              <w:pStyle w:val="TableContents"/>
              <w:bidi w:val="0"/>
              <w:spacing w:before="0" w:after="283"/>
              <w:jc w:val="left"/>
              <w:rPr/>
            </w:pPr>
            <w:r>
              <w:rPr/>
              <w:t xml:space="preserve">  </w:t>
            </w:r>
          </w:p>
        </w:tc>
        <w:tc>
          <w:tcPr>
            <w:tcW w:w="1400" w:type="dxa"/>
            <w:tcBorders/>
            <w:vAlign w:val="center"/>
          </w:tcPr>
          <w:p>
            <w:pPr>
              <w:pStyle w:val="TableContents"/>
              <w:bidi w:val="0"/>
              <w:spacing w:before="0" w:after="283"/>
              <w:jc w:val="left"/>
              <w:rPr/>
            </w:pPr>
            <w:r>
              <w:rPr>
                <w:sz w:val="20"/>
              </w:rPr>
              <w:t>October 9, 2026</w:t>
            </w:r>
            <w:r>
              <w:rPr/>
              <w:t xml:space="preserve"> </w:t>
            </w:r>
          </w:p>
        </w:tc>
      </w:tr>
      <w:tr>
        <w:trPr/>
        <w:tc>
          <w:tcPr>
            <w:tcW w:w="1535" w:type="dxa"/>
            <w:tcBorders/>
            <w:vAlign w:val="center"/>
          </w:tcPr>
          <w:p>
            <w:pPr>
              <w:pStyle w:val="TableContents"/>
              <w:bidi w:val="0"/>
              <w:spacing w:before="0" w:after="283"/>
              <w:jc w:val="left"/>
              <w:rPr/>
            </w:pPr>
            <w:r>
              <w:rPr>
                <w:sz w:val="20"/>
              </w:rPr>
              <w:t>/s/ Huanhuan Tian</w:t>
              <w:br/>
              <w:t>Huanhuan Tian</w:t>
            </w:r>
            <w:r>
              <w:rPr/>
              <w:t xml:space="preserve"> </w:t>
            </w:r>
          </w:p>
        </w:tc>
        <w:tc>
          <w:tcPr>
            <w:tcW w:w="120" w:type="dxa"/>
            <w:tcBorders/>
            <w:vAlign w:val="center"/>
          </w:tcPr>
          <w:p>
            <w:pPr>
              <w:pStyle w:val="TableContents"/>
              <w:bidi w:val="0"/>
              <w:spacing w:before="0" w:after="283"/>
              <w:jc w:val="left"/>
              <w:rPr/>
            </w:pPr>
            <w:r>
              <w:rPr/>
              <w:t xml:space="preserve">  </w:t>
            </w:r>
          </w:p>
        </w:tc>
        <w:tc>
          <w:tcPr>
            <w:tcW w:w="5075" w:type="dxa"/>
            <w:tcBorders/>
            <w:vAlign w:val="center"/>
          </w:tcPr>
          <w:p>
            <w:pPr>
              <w:pStyle w:val="TableContents"/>
              <w:bidi w:val="0"/>
              <w:spacing w:before="0" w:after="283"/>
              <w:jc w:val="left"/>
              <w:rPr/>
            </w:pPr>
            <w:r>
              <w:rPr>
                <w:sz w:val="20"/>
              </w:rPr>
              <w:t>Independent Director</w:t>
            </w:r>
            <w:r>
              <w:rPr/>
              <w:t xml:space="preserve"> </w:t>
            </w:r>
          </w:p>
        </w:tc>
        <w:tc>
          <w:tcPr>
            <w:tcW w:w="120" w:type="dxa"/>
            <w:tcBorders/>
            <w:vAlign w:val="center"/>
          </w:tcPr>
          <w:p>
            <w:pPr>
              <w:pStyle w:val="TableContents"/>
              <w:bidi w:val="0"/>
              <w:spacing w:before="0" w:after="283"/>
              <w:jc w:val="left"/>
              <w:rPr/>
            </w:pPr>
            <w:r>
              <w:rPr/>
              <w:t xml:space="preserve">  </w:t>
            </w:r>
          </w:p>
        </w:tc>
        <w:tc>
          <w:tcPr>
            <w:tcW w:w="1400" w:type="dxa"/>
            <w:tcBorders/>
            <w:vAlign w:val="center"/>
          </w:tcPr>
          <w:p>
            <w:pPr>
              <w:pStyle w:val="TableContents"/>
              <w:bidi w:val="0"/>
              <w:spacing w:before="0" w:after="283"/>
              <w:jc w:val="left"/>
              <w:rPr/>
            </w:pPr>
            <w:r>
              <w:rPr>
                <w:sz w:val="20"/>
              </w:rPr>
              <w:t>October 9, 2026</w:t>
            </w:r>
            <w:r>
              <w:rPr/>
              <w:t xml:space="preserve"> </w:t>
            </w:r>
          </w:p>
        </w:tc>
      </w:tr>
      <w:tr>
        <w:trPr/>
        <w:tc>
          <w:tcPr>
            <w:tcW w:w="1535" w:type="dxa"/>
            <w:tcBorders/>
            <w:vAlign w:val="center"/>
          </w:tcPr>
          <w:p>
            <w:pPr>
              <w:pStyle w:val="TableContents"/>
              <w:bidi w:val="0"/>
              <w:spacing w:before="0" w:after="283"/>
              <w:jc w:val="left"/>
              <w:rPr/>
            </w:pPr>
            <w:r>
              <w:rPr>
                <w:sz w:val="20"/>
              </w:rPr>
              <w:t>/s/ Huaqin He</w:t>
              <w:br/>
              <w:t>Huaqin He</w:t>
            </w:r>
            <w:r>
              <w:rPr/>
              <w:t xml:space="preserve"> </w:t>
            </w:r>
          </w:p>
        </w:tc>
        <w:tc>
          <w:tcPr>
            <w:tcW w:w="120" w:type="dxa"/>
            <w:tcBorders/>
            <w:vAlign w:val="center"/>
          </w:tcPr>
          <w:p>
            <w:pPr>
              <w:pStyle w:val="TableContents"/>
              <w:bidi w:val="0"/>
              <w:spacing w:before="0" w:after="283"/>
              <w:jc w:val="left"/>
              <w:rPr/>
            </w:pPr>
            <w:r>
              <w:rPr/>
              <w:t xml:space="preserve">  </w:t>
            </w:r>
          </w:p>
        </w:tc>
        <w:tc>
          <w:tcPr>
            <w:tcW w:w="5075" w:type="dxa"/>
            <w:tcBorders/>
            <w:vAlign w:val="center"/>
          </w:tcPr>
          <w:p>
            <w:pPr>
              <w:pStyle w:val="TableContents"/>
              <w:bidi w:val="0"/>
              <w:spacing w:before="0" w:after="283"/>
              <w:jc w:val="left"/>
              <w:rPr/>
            </w:pPr>
            <w:r>
              <w:rPr>
                <w:sz w:val="20"/>
              </w:rPr>
              <w:t>Independent Director</w:t>
            </w:r>
            <w:r>
              <w:rPr/>
              <w:t xml:space="preserve"> </w:t>
            </w:r>
          </w:p>
        </w:tc>
        <w:tc>
          <w:tcPr>
            <w:tcW w:w="120" w:type="dxa"/>
            <w:tcBorders/>
            <w:vAlign w:val="center"/>
          </w:tcPr>
          <w:p>
            <w:pPr>
              <w:pStyle w:val="TableContents"/>
              <w:bidi w:val="0"/>
              <w:spacing w:before="0" w:after="283"/>
              <w:jc w:val="left"/>
              <w:rPr/>
            </w:pPr>
            <w:r>
              <w:rPr/>
              <w:t xml:space="preserve">  </w:t>
            </w:r>
          </w:p>
        </w:tc>
        <w:tc>
          <w:tcPr>
            <w:tcW w:w="1400" w:type="dxa"/>
            <w:tcBorders/>
            <w:vAlign w:val="center"/>
          </w:tcPr>
          <w:p>
            <w:pPr>
              <w:pStyle w:val="TableContents"/>
              <w:bidi w:val="0"/>
              <w:spacing w:before="0" w:after="283"/>
              <w:jc w:val="left"/>
              <w:rPr/>
            </w:pPr>
            <w:r>
              <w:rPr>
                <w:sz w:val="20"/>
              </w:rPr>
              <w:t>October 9, 2026</w:t>
            </w:r>
            <w:r>
              <w:rPr/>
              <w:t xml:space="preserve"> </w:t>
            </w:r>
          </w:p>
        </w:tc>
      </w:tr>
      <w:tr>
        <w:trPr/>
        <w:tc>
          <w:tcPr>
            <w:tcW w:w="1535" w:type="dxa"/>
            <w:tcBorders/>
            <w:vAlign w:val="center"/>
          </w:tcPr>
          <w:p>
            <w:pPr>
              <w:pStyle w:val="TableContents"/>
              <w:bidi w:val="0"/>
              <w:spacing w:before="0" w:after="283"/>
              <w:jc w:val="left"/>
              <w:rPr/>
            </w:pPr>
            <w:r>
              <w:rPr>
                <w:sz w:val="20"/>
              </w:rPr>
              <w:t>/s/ Jianing Lu</w:t>
              <w:br/>
              <w:t>Jianing Lu</w:t>
            </w:r>
            <w:r>
              <w:rPr/>
              <w:t xml:space="preserve"> </w:t>
            </w:r>
          </w:p>
        </w:tc>
        <w:tc>
          <w:tcPr>
            <w:tcW w:w="120" w:type="dxa"/>
            <w:tcBorders/>
            <w:vAlign w:val="center"/>
          </w:tcPr>
          <w:p>
            <w:pPr>
              <w:pStyle w:val="TableContents"/>
              <w:bidi w:val="0"/>
              <w:spacing w:before="0" w:after="283"/>
              <w:jc w:val="left"/>
              <w:rPr/>
            </w:pPr>
            <w:r>
              <w:rPr/>
              <w:t xml:space="preserve">  </w:t>
            </w:r>
          </w:p>
        </w:tc>
        <w:tc>
          <w:tcPr>
            <w:tcW w:w="5075" w:type="dxa"/>
            <w:tcBorders/>
            <w:vAlign w:val="center"/>
          </w:tcPr>
          <w:p>
            <w:pPr>
              <w:pStyle w:val="TableContents"/>
              <w:bidi w:val="0"/>
              <w:spacing w:before="0" w:after="283"/>
              <w:jc w:val="left"/>
              <w:rPr/>
            </w:pPr>
            <w:r>
              <w:rPr>
                <w:sz w:val="20"/>
              </w:rPr>
              <w:t>Independent Director</w:t>
            </w:r>
            <w:r>
              <w:rPr/>
              <w:t xml:space="preserve"> </w:t>
            </w:r>
          </w:p>
        </w:tc>
        <w:tc>
          <w:tcPr>
            <w:tcW w:w="120" w:type="dxa"/>
            <w:tcBorders/>
            <w:vAlign w:val="center"/>
          </w:tcPr>
          <w:p>
            <w:pPr>
              <w:pStyle w:val="TableContents"/>
              <w:bidi w:val="0"/>
              <w:spacing w:before="0" w:after="283"/>
              <w:jc w:val="left"/>
              <w:rPr/>
            </w:pPr>
            <w:r>
              <w:rPr/>
              <w:t xml:space="preserve">  </w:t>
            </w:r>
          </w:p>
        </w:tc>
        <w:tc>
          <w:tcPr>
            <w:tcW w:w="1400" w:type="dxa"/>
            <w:tcBorders/>
            <w:vAlign w:val="center"/>
          </w:tcPr>
          <w:p>
            <w:pPr>
              <w:pStyle w:val="TableContents"/>
              <w:bidi w:val="0"/>
              <w:spacing w:before="0" w:after="283"/>
              <w:jc w:val="left"/>
              <w:rPr/>
            </w:pPr>
            <w:r>
              <w:rPr>
                <w:sz w:val="20"/>
              </w:rPr>
              <w:t>October 9, 2026</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Attorney-in-factYidan Chen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3"/>
        <w:gridCol w:w="83"/>
        <w:gridCol w:w="9149"/>
      </w:tblGrid>
      <w:tr>
        <w:trPr/>
        <w:tc>
          <w:tcPr>
            <w:tcW w:w="973" w:type="dxa"/>
            <w:tcBorders>
              <w:bottom w:val="single" w:sz="12" w:space="0" w:color="000000"/>
            </w:tcBorders>
            <w:vAlign w:val="center"/>
          </w:tcPr>
          <w:p>
            <w:pPr>
              <w:pStyle w:val="TableContents"/>
              <w:bidi w:val="0"/>
              <w:spacing w:before="0" w:after="283"/>
              <w:jc w:val="both"/>
              <w:rPr/>
            </w:pPr>
            <w:r>
              <w:rPr>
                <w:b/>
              </w:rPr>
              <w:t>Exhibit No.</w:t>
            </w:r>
            <w:r>
              <w:rPr/>
              <w:t xml:space="preserve"> </w:t>
            </w:r>
          </w:p>
        </w:tc>
        <w:tc>
          <w:tcPr>
            <w:tcW w:w="83" w:type="dxa"/>
            <w:tcBorders/>
            <w:tcMar>
              <w:bottom w:w="0" w:type="dxa"/>
            </w:tcMar>
            <w:vAlign w:val="center"/>
          </w:tcPr>
          <w:p>
            <w:pPr>
              <w:pStyle w:val="TableContents"/>
              <w:bidi w:val="0"/>
              <w:spacing w:before="0" w:after="283"/>
              <w:jc w:val="both"/>
              <w:rPr/>
            </w:pPr>
            <w:r>
              <w:rPr/>
              <w:t xml:space="preserve">  </w:t>
            </w:r>
          </w:p>
        </w:tc>
        <w:tc>
          <w:tcPr>
            <w:tcW w:w="9149" w:type="dxa"/>
            <w:tcBorders>
              <w:bottom w:val="single" w:sz="12" w:space="0" w:color="000000"/>
            </w:tcBorders>
            <w:vAlign w:val="center"/>
          </w:tcPr>
          <w:p>
            <w:pPr>
              <w:pStyle w:val="TableContents"/>
              <w:bidi w:val="0"/>
              <w:spacing w:before="0" w:after="283"/>
              <w:jc w:val="center"/>
              <w:rPr/>
            </w:pPr>
            <w:r>
              <w:rPr>
                <w:b/>
              </w:rPr>
              <w:t>Description of Exhibit</w:t>
            </w:r>
            <w:r>
              <w:rPr/>
              <w:t xml:space="preserve">  </w:t>
            </w:r>
          </w:p>
        </w:tc>
      </w:tr>
      <w:tr>
        <w:trPr/>
        <w:tc>
          <w:tcPr>
            <w:tcW w:w="973" w:type="dxa"/>
            <w:tcBorders/>
            <w:tcMar>
              <w:bottom w:w="0" w:type="dxa"/>
            </w:tcMar>
            <w:vAlign w:val="center"/>
          </w:tcPr>
          <w:p>
            <w:pPr>
              <w:pStyle w:val="TableContents"/>
              <w:bidi w:val="0"/>
              <w:spacing w:before="0" w:after="283"/>
              <w:jc w:val="both"/>
              <w:rPr/>
            </w:pPr>
            <w:r>
              <w:rPr/>
              <w:t xml:space="preserve">  </w:t>
            </w:r>
          </w:p>
        </w:tc>
        <w:tc>
          <w:tcPr>
            <w:tcW w:w="83" w:type="dxa"/>
            <w:tcBorders/>
            <w:tcMar>
              <w:bottom w:w="0" w:type="dxa"/>
            </w:tcMar>
            <w:vAlign w:val="center"/>
          </w:tcPr>
          <w:p>
            <w:pPr>
              <w:pStyle w:val="TableContents"/>
              <w:bidi w:val="0"/>
              <w:spacing w:before="0" w:after="283"/>
              <w:jc w:val="both"/>
              <w:rPr/>
            </w:pPr>
            <w:r>
              <w:rPr/>
              <w:t xml:space="preserve">  </w:t>
            </w:r>
          </w:p>
        </w:tc>
        <w:tc>
          <w:tcPr>
            <w:tcW w:w="9149" w:type="dxa"/>
            <w:tcBorders/>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1.1*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r>
              <w:rPr/>
              <w:t xml:space="preserve">Form of Underwriting Agreement.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3.1**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hyperlink r:id="rId18">
              <w:r>
                <w:rPr>
                  <w:rStyle w:val="InternetLink"/>
                </w:rPr>
                <w:t>Amended and Restated Certificate of Incorporation of Elite Express Holding Inc. (incorporated by reference to Exhibit 3.1 to the registration statement on Form S-1 (File No. 333-286965) filed with the SEC on May 5, 2025).</w:t>
              </w:r>
            </w:hyperlink>
            <w:r>
              <w:rPr/>
              <w:t xml:space="preserve">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3.2**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hyperlink r:id="rId19">
              <w:r>
                <w:rPr>
                  <w:rStyle w:val="InternetLink"/>
                </w:rPr>
                <w:t>Amended and Restated Bylaws of Elite Express Holding Inc. (incorporated by reference to Exhibit 3.2 to the registration statement on Form S-1 (File No. 333-286965) filed with the SEC on May 5, 2025).</w:t>
              </w:r>
            </w:hyperlink>
            <w:r>
              <w:rPr/>
              <w:t xml:space="preserve">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4.1**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hyperlink r:id="rId20">
              <w:r>
                <w:rPr>
                  <w:rStyle w:val="InternetLink"/>
                </w:rPr>
                <w:t>Specimen Certificate for Class A Common Stock (incorporated by reference to Exhibit 4.1 to the registration statement on Form S-1 (File No. 333-286965), as amended).</w:t>
              </w:r>
            </w:hyperlink>
            <w:r>
              <w:rPr/>
              <w:t xml:space="preserve">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4.2*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r>
              <w:rPr/>
              <w:t xml:space="preserve">Form of Certificate of Designation of Preferred Stock.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4.3*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r>
              <w:rPr/>
              <w:t xml:space="preserve">Form of Preferred Stock Certificate.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4.4*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r>
              <w:rPr/>
              <w:t xml:space="preserve">Form of Debt Security.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4.5*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r>
              <w:rPr/>
              <w:t xml:space="preserve">Form of Warrant Agreement and Warrant Certificate.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 xml:space="preserve">4.6*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r>
              <w:rPr/>
              <w:t xml:space="preserve">Form of Rights Agreement and Rights Certificate.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r>
              <w:rPr/>
              <w:t>4.7</w:t>
            </w:r>
            <w:r>
              <w:rPr>
                <w:position w:val="8"/>
                <w:sz w:val="19"/>
              </w:rPr>
              <w:t>*</w:t>
            </w:r>
            <w:r>
              <w:rPr/>
              <w:t xml:space="preserve"> </w:t>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r>
              <w:rPr/>
              <w:t xml:space="preserve">Form of Unit Agreement and Unit Certificate. </w:t>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left"/>
              <w:rPr/>
            </w:pPr>
            <w:hyperlink r:id="rId21">
              <w:r>
                <w:rPr>
                  <w:rStyle w:val="InternetLink"/>
                  <w:sz w:val="20"/>
                </w:rPr>
                <w:t>5.1**</w:t>
              </w:r>
            </w:hyperlink>
            <w:hyperlink r:id="rId22">
              <w:r>
                <w:rPr>
                  <w:rStyle w:val="InternetLink"/>
                </w:rPr>
                <w:t xml:space="preserve"> </w:t>
              </w:r>
            </w:hyperlink>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left"/>
              <w:rPr/>
            </w:pPr>
            <w:hyperlink r:id="rId23">
              <w:r>
                <w:rPr>
                  <w:rStyle w:val="InternetLink"/>
                  <w:sz w:val="20"/>
                </w:rPr>
                <w:t>Opinion of McCarter &amp; English, LLP.</w:t>
              </w:r>
            </w:hyperlink>
            <w:hyperlink r:id="rId24">
              <w:r>
                <w:rPr>
                  <w:rStyle w:val="InternetLink"/>
                </w:rPr>
                <w:t xml:space="preserve"> </w:t>
              </w:r>
            </w:hyperlink>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hyperlink w:anchor="tm2623148d2_ex23-1.htm">
              <w:r>
                <w:rPr>
                  <w:rStyle w:val="InternetLink"/>
                  <w:sz w:val="20"/>
                </w:rPr>
                <w:t>23.1</w:t>
              </w:r>
            </w:hyperlink>
            <w:hyperlink w:anchor="tm2623148d2_ex23-1.htm">
              <w:r>
                <w:rPr>
                  <w:rStyle w:val="InternetLink"/>
                </w:rPr>
                <w:t xml:space="preserve"> </w:t>
              </w:r>
            </w:hyperlink>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hyperlink w:anchor="tm2623148d2_ex23-1.htm">
              <w:r>
                <w:rPr>
                  <w:rStyle w:val="InternetLink"/>
                  <w:sz w:val="20"/>
                </w:rPr>
                <w:t>Consent of Audit Alliance LLP.</w:t>
              </w:r>
            </w:hyperlink>
            <w:hyperlink w:anchor="tm2623148d2_ex23-1.htm">
              <w:r>
                <w:rPr>
                  <w:rStyle w:val="InternetLink"/>
                </w:rPr>
                <w:t xml:space="preserve"> </w:t>
              </w:r>
            </w:hyperlink>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both"/>
              <w:rPr/>
            </w:pPr>
            <w:hyperlink w:anchor="tm2623148d2_ex23-2.htm">
              <w:r>
                <w:rPr>
                  <w:rStyle w:val="InternetLink"/>
                  <w:sz w:val="20"/>
                </w:rPr>
                <w:t>23.2</w:t>
              </w:r>
            </w:hyperlink>
            <w:hyperlink w:anchor="tm2623148d2_ex23-2.htm">
              <w:r>
                <w:rPr>
                  <w:rStyle w:val="InternetLink"/>
                </w:rPr>
                <w:t xml:space="preserve"> </w:t>
              </w:r>
            </w:hyperlink>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hyperlink w:anchor="tm2623148d2_ex23-2.htm">
              <w:r>
                <w:rPr>
                  <w:rStyle w:val="InternetLink"/>
                  <w:sz w:val="20"/>
                </w:rPr>
                <w:t>Consent of Golden Eagle CPAs LLC.</w:t>
              </w:r>
            </w:hyperlink>
            <w:hyperlink w:anchor="tm2623148d2_ex23-2.htm">
              <w:r>
                <w:rPr>
                  <w:rStyle w:val="InternetLink"/>
                </w:rPr>
                <w:t xml:space="preserve"> </w:t>
              </w:r>
            </w:hyperlink>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left"/>
              <w:rPr/>
            </w:pPr>
            <w:hyperlink r:id="rId25">
              <w:r>
                <w:rPr>
                  <w:rStyle w:val="InternetLink"/>
                  <w:sz w:val="20"/>
                </w:rPr>
                <w:t>23.3**</w:t>
              </w:r>
            </w:hyperlink>
            <w:hyperlink r:id="rId26">
              <w:r>
                <w:rPr>
                  <w:rStyle w:val="InternetLink"/>
                </w:rPr>
                <w:t xml:space="preserve"> </w:t>
              </w:r>
            </w:hyperlink>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both"/>
              <w:rPr/>
            </w:pPr>
            <w:hyperlink r:id="rId27">
              <w:r>
                <w:rPr>
                  <w:rStyle w:val="InternetLink"/>
                  <w:sz w:val="20"/>
                </w:rPr>
                <w:t>Consent of McCarter &amp; English, LLP (included in Exhibit 5.1).</w:t>
              </w:r>
            </w:hyperlink>
            <w:hyperlink r:id="rId28">
              <w:r>
                <w:rPr>
                  <w:rStyle w:val="InternetLink"/>
                </w:rPr>
                <w:t xml:space="preserve"> </w:t>
              </w:r>
            </w:hyperlink>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left"/>
              <w:rPr/>
            </w:pPr>
            <w:r>
              <w:fldChar w:fldCharType="begin"/>
            </w:r>
            <w:r>
              <w:rPr>
                <w:rStyle w:val="InternetLink"/>
                <w:sz w:val="20"/>
              </w:rPr>
              <w:instrText xml:space="preserve"> HYPERLINK "https://www.sec.gov/Archives/edgar/data/2053641/000110465926103393/tm2623148d1_s3.htm" \l "poa"</w:instrText>
            </w:r>
            <w:r>
              <w:rPr>
                <w:rStyle w:val="InternetLink"/>
                <w:sz w:val="20"/>
              </w:rPr>
              <w:fldChar w:fldCharType="separate"/>
            </w:r>
            <w:r>
              <w:rPr>
                <w:rStyle w:val="InternetLink"/>
                <w:sz w:val="20"/>
              </w:rPr>
              <w:t>24.1**</w:t>
            </w:r>
            <w:r>
              <w:rPr>
                <w:rStyle w:val="InternetLink"/>
                <w:sz w:val="20"/>
              </w:rPr>
              <w:fldChar w:fldCharType="end"/>
            </w:r>
            <w:r>
              <w:fldChar w:fldCharType="begin"/>
            </w:r>
            <w:r>
              <w:rPr>
                <w:rStyle w:val="InternetLink"/>
              </w:rPr>
              <w:instrText xml:space="preserve"> HYPERLINK "https://www.sec.gov/Archives/edgar/data/2053641/000110465926103393/tm2623148d1_s3.htm" \l "poa"</w:instrText>
            </w:r>
            <w:r>
              <w:rPr>
                <w:rStyle w:val="InternetLink"/>
              </w:rPr>
              <w:fldChar w:fldCharType="separate"/>
            </w:r>
            <w:r>
              <w:rPr>
                <w:rStyle w:val="InternetLink"/>
              </w:rPr>
              <w:t xml:space="preserve"> </w:t>
            </w:r>
            <w:r>
              <w:rPr>
                <w:rStyle w:val="InternetLink"/>
              </w:rPr>
              <w:fldChar w:fldCharType="end"/>
            </w:r>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left"/>
              <w:rPr/>
            </w:pPr>
            <w:r>
              <w:fldChar w:fldCharType="begin"/>
            </w:r>
            <w:r>
              <w:rPr>
                <w:rStyle w:val="InternetLink"/>
                <w:sz w:val="20"/>
              </w:rPr>
              <w:instrText xml:space="preserve"> HYPERLINK "https://www.sec.gov/Archives/edgar/data/2053641/000110465926103393/tm2623148d1_s3.htm" \l "poa"</w:instrText>
            </w:r>
            <w:r>
              <w:rPr>
                <w:rStyle w:val="InternetLink"/>
                <w:sz w:val="20"/>
              </w:rPr>
              <w:fldChar w:fldCharType="separate"/>
            </w:r>
            <w:r>
              <w:rPr>
                <w:rStyle w:val="InternetLink"/>
                <w:sz w:val="20"/>
              </w:rPr>
              <w:t>Power of Attorney.</w:t>
            </w:r>
            <w:r>
              <w:rPr>
                <w:rStyle w:val="InternetLink"/>
                <w:sz w:val="20"/>
              </w:rPr>
              <w:fldChar w:fldCharType="end"/>
            </w:r>
            <w:r>
              <w:fldChar w:fldCharType="begin"/>
            </w:r>
            <w:r>
              <w:rPr>
                <w:rStyle w:val="InternetLink"/>
              </w:rPr>
              <w:instrText xml:space="preserve"> HYPERLINK "https://www.sec.gov/Archives/edgar/data/2053641/000110465926103393/tm2623148d1_s3.htm" \l "poa"</w:instrText>
            </w:r>
            <w:r>
              <w:rPr>
                <w:rStyle w:val="InternetLink"/>
              </w:rPr>
              <w:fldChar w:fldCharType="separate"/>
            </w:r>
            <w:r>
              <w:rPr>
                <w:rStyle w:val="InternetLink"/>
              </w:rPr>
              <w:t xml:space="preserve"> </w:t>
            </w:r>
            <w:r>
              <w:rPr>
                <w:rStyle w:val="InternetLink"/>
              </w:rPr>
              <w:fldChar w:fldCharType="end"/>
            </w:r>
          </w:p>
        </w:tc>
      </w:tr>
      <w:tr>
        <w:trPr/>
        <w:tc>
          <w:tcPr>
            <w:tcW w:w="973" w:type="dxa"/>
            <w:tcBorders/>
            <w:shd w:fill="FFFFFF" w:val="clear"/>
            <w:tcMar>
              <w:bottom w:w="0" w:type="dxa"/>
            </w:tcMar>
            <w:vAlign w:val="center"/>
          </w:tcPr>
          <w:p>
            <w:pPr>
              <w:pStyle w:val="TableContents"/>
              <w:bidi w:val="0"/>
              <w:spacing w:before="0" w:after="283"/>
              <w:jc w:val="both"/>
              <w:rPr/>
            </w:pPr>
            <w:r>
              <w:rPr/>
              <w:t xml:space="preserve">  </w:t>
            </w:r>
          </w:p>
        </w:tc>
        <w:tc>
          <w:tcPr>
            <w:tcW w:w="83" w:type="dxa"/>
            <w:tcBorders/>
            <w:shd w:fill="FFFFFF" w:val="clear"/>
            <w:tcMar>
              <w:bottom w:w="0" w:type="dxa"/>
            </w:tcMar>
            <w:vAlign w:val="center"/>
          </w:tcPr>
          <w:p>
            <w:pPr>
              <w:pStyle w:val="TableContents"/>
              <w:bidi w:val="0"/>
              <w:spacing w:before="0" w:after="283"/>
              <w:jc w:val="both"/>
              <w:rPr/>
            </w:pPr>
            <w:r>
              <w:rPr/>
              <w:t xml:space="preserve">  </w:t>
            </w:r>
          </w:p>
        </w:tc>
        <w:tc>
          <w:tcPr>
            <w:tcW w:w="9149" w:type="dxa"/>
            <w:tcBorders/>
            <w:shd w:fill="FFFFFF" w:val="clear"/>
            <w:tcMar>
              <w:bottom w:w="0" w:type="dxa"/>
            </w:tcMar>
            <w:vAlign w:val="center"/>
          </w:tcPr>
          <w:p>
            <w:pPr>
              <w:pStyle w:val="TableContents"/>
              <w:bidi w:val="0"/>
              <w:spacing w:before="0" w:after="283"/>
              <w:jc w:val="both"/>
              <w:rPr/>
            </w:pPr>
            <w:r>
              <w:rPr/>
              <w:t xml:space="preserve">  </w:t>
            </w:r>
          </w:p>
        </w:tc>
      </w:tr>
      <w:tr>
        <w:trPr/>
        <w:tc>
          <w:tcPr>
            <w:tcW w:w="973" w:type="dxa"/>
            <w:tcBorders/>
            <w:shd w:fill="CCEEFF" w:val="clear"/>
            <w:tcMar>
              <w:bottom w:w="0" w:type="dxa"/>
            </w:tcMar>
            <w:vAlign w:val="center"/>
          </w:tcPr>
          <w:p>
            <w:pPr>
              <w:pStyle w:val="TableContents"/>
              <w:bidi w:val="0"/>
              <w:spacing w:before="0" w:after="283"/>
              <w:jc w:val="left"/>
              <w:rPr/>
            </w:pPr>
            <w:hyperlink r:id="rId29">
              <w:r>
                <w:rPr>
                  <w:rStyle w:val="InternetLink"/>
                  <w:sz w:val="20"/>
                </w:rPr>
                <w:t>107**</w:t>
              </w:r>
            </w:hyperlink>
            <w:hyperlink r:id="rId30">
              <w:r>
                <w:rPr>
                  <w:rStyle w:val="InternetLink"/>
                </w:rPr>
                <w:t xml:space="preserve"> </w:t>
              </w:r>
            </w:hyperlink>
          </w:p>
        </w:tc>
        <w:tc>
          <w:tcPr>
            <w:tcW w:w="83" w:type="dxa"/>
            <w:tcBorders/>
            <w:shd w:fill="CCEEFF" w:val="clear"/>
            <w:tcMar>
              <w:bottom w:w="0" w:type="dxa"/>
            </w:tcMar>
            <w:vAlign w:val="center"/>
          </w:tcPr>
          <w:p>
            <w:pPr>
              <w:pStyle w:val="TableContents"/>
              <w:bidi w:val="0"/>
              <w:spacing w:before="0" w:after="283"/>
              <w:jc w:val="both"/>
              <w:rPr/>
            </w:pPr>
            <w:r>
              <w:rPr/>
              <w:t xml:space="preserve">  </w:t>
            </w:r>
          </w:p>
        </w:tc>
        <w:tc>
          <w:tcPr>
            <w:tcW w:w="9149" w:type="dxa"/>
            <w:tcBorders/>
            <w:shd w:fill="CCEEFF" w:val="clear"/>
            <w:tcMar>
              <w:bottom w:w="0" w:type="dxa"/>
            </w:tcMar>
            <w:vAlign w:val="center"/>
          </w:tcPr>
          <w:p>
            <w:pPr>
              <w:pStyle w:val="TableContents"/>
              <w:bidi w:val="0"/>
              <w:spacing w:before="0" w:after="283"/>
              <w:jc w:val="left"/>
              <w:rPr/>
            </w:pPr>
            <w:hyperlink r:id="rId31">
              <w:r>
                <w:rPr>
                  <w:rStyle w:val="InternetLink"/>
                  <w:sz w:val="20"/>
                </w:rPr>
                <w:t>Calculation of Filing Fee Tables.</w:t>
              </w:r>
            </w:hyperlink>
            <w:hyperlink r:id="rId32">
              <w:r>
                <w:rPr>
                  <w:rStyle w:val="InternetLink"/>
                </w:rPr>
                <w:t xml:space="preserve"> </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necessary, subsequent to the effectiveness of this registration statement by an amendment to this registration statement or incorporated by reference pursuant to a Current Report on Form 8-K in connection with the offering of securities.</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3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caps w:val="false"/>
          <w:smallCaps w:val="false"/>
        </w:rPr>
      </w:pPr>
      <w:bookmarkStart w:id="19" w:name="tm2623148d2_ex23-1.htm"/>
      <w:bookmarkStart w:id="20" w:name="kstm2623148d2_ex231"/>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tbl>
      <w:tblPr>
        <w:tblW w:w="9245" w:type="dxa"/>
        <w:jc w:val="left"/>
        <w:tblInd w:w="0" w:type="dxa"/>
        <w:tblLayout w:type="fixed"/>
        <w:tblCellMar>
          <w:top w:w="0" w:type="dxa"/>
          <w:left w:w="0" w:type="dxa"/>
          <w:bottom w:w="0" w:type="dxa"/>
          <w:right w:w="0" w:type="dxa"/>
        </w:tblCellMar>
      </w:tblPr>
      <w:tblGrid>
        <w:gridCol w:w="900"/>
        <w:gridCol w:w="5330"/>
        <w:gridCol w:w="3015"/>
      </w:tblGrid>
      <w:tr>
        <w:trPr/>
        <w:tc>
          <w:tcPr>
            <w:tcW w:w="900" w:type="dxa"/>
            <w:tcBorders/>
            <w:vAlign w:val="center"/>
          </w:tcPr>
          <w:p>
            <w:pPr>
              <w:pStyle w:val="TableContents"/>
              <w:bidi w:val="0"/>
              <w:spacing w:before="0" w:after="283"/>
              <w:jc w:val="left"/>
              <w:rPr/>
            </w:pPr>
            <w:r>
              <w:rPr/>
              <w:drawing>
                <wp:inline distT="0" distB="0" distL="0" distR="0">
                  <wp:extent cx="52387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3"/>
                          <a:stretch>
                            <a:fillRect/>
                          </a:stretch>
                        </pic:blipFill>
                        <pic:spPr bwMode="auto">
                          <a:xfrm>
                            <a:off x="0" y="0"/>
                            <a:ext cx="523875" cy="495300"/>
                          </a:xfrm>
                          <a:prstGeom prst="rect">
                            <a:avLst/>
                          </a:prstGeom>
                        </pic:spPr>
                      </pic:pic>
                    </a:graphicData>
                  </a:graphic>
                </wp:inline>
              </w:drawing>
            </w:r>
            <w:r>
              <w:rPr/>
              <w:t> </w:t>
            </w:r>
          </w:p>
        </w:tc>
        <w:tc>
          <w:tcPr>
            <w:tcW w:w="5330" w:type="dxa"/>
            <w:tcBorders/>
            <w:vAlign w:val="center"/>
          </w:tcPr>
          <w:p>
            <w:pPr>
              <w:pStyle w:val="TableContents"/>
              <w:bidi w:val="0"/>
              <w:spacing w:before="0" w:after="283"/>
              <w:jc w:val="left"/>
              <w:rPr>
                <w:color w:val="0000FF"/>
                <w:sz w:val="48"/>
              </w:rPr>
            </w:pPr>
            <w:r>
              <w:rPr>
                <w:color w:val="0000FF"/>
                <w:sz w:val="48"/>
              </w:rPr>
              <w:t>AUDIT ALLIANCE LLP</w:t>
            </w:r>
            <w:r>
              <w:rPr>
                <w:b/>
                <w:color w:val="0000FF"/>
                <w:position w:val="16"/>
                <w:sz w:val="38"/>
                <w:sz w:val="48"/>
              </w:rPr>
              <w:t>®</w:t>
            </w:r>
          </w:p>
        </w:tc>
        <w:tc>
          <w:tcPr>
            <w:tcW w:w="3015" w:type="dxa"/>
            <w:tcBorders/>
            <w:vAlign w:val="center"/>
          </w:tcPr>
          <w:p>
            <w:pPr>
              <w:pStyle w:val="TableContents"/>
              <w:bidi w:val="0"/>
              <w:spacing w:before="0" w:after="283"/>
              <w:jc w:val="left"/>
              <w:rPr/>
            </w:pPr>
            <w:r>
              <w:rPr/>
              <w:t> </w:t>
            </w:r>
            <w:r>
              <w:rPr/>
              <w:drawing>
                <wp:inline distT="0" distB="0" distL="0" distR="0">
                  <wp:extent cx="18669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4"/>
                          <a:stretch>
                            <a:fillRect/>
                          </a:stretch>
                        </pic:blipFill>
                        <pic:spPr bwMode="auto">
                          <a:xfrm>
                            <a:off x="0" y="0"/>
                            <a:ext cx="1866900" cy="466725"/>
                          </a:xfrm>
                          <a:prstGeom prst="rect">
                            <a:avLst/>
                          </a:prstGeom>
                        </pic:spPr>
                      </pic:pic>
                    </a:graphicData>
                  </a:graphic>
                </wp:inline>
              </w:drawing>
            </w:r>
          </w:p>
        </w:tc>
      </w:tr>
    </w:tbl>
    <w:p>
      <w:pPr>
        <w:pStyle w:val="TextBody"/>
        <w:bidi w:val="0"/>
        <w:spacing w:before="0" w:after="0"/>
        <w:ind w:left="667" w:right="0" w:hanging="0"/>
        <w:jc w:val="left"/>
        <w:rPr>
          <w:rFonts w:ascii="Times New Roman;Times;Serif" w:hAnsi="Times New Roman;Times;Serif"/>
          <w:b w:val="false"/>
          <w:i w:val="false"/>
          <w:caps w:val="false"/>
          <w:smallCaps w:val="false"/>
          <w:color w:val="3333FF"/>
          <w:sz w:val="16"/>
        </w:rPr>
      </w:pPr>
      <w:r>
        <w:rPr>
          <w:rFonts w:ascii="Times New Roman;Times;Serif" w:hAnsi="Times New Roman;Times;Serif"/>
          <w:b w:val="false"/>
          <w:i w:val="false"/>
          <w:caps w:val="false"/>
          <w:smallCaps w:val="false"/>
          <w:color w:val="3333FF"/>
          <w:sz w:val="16"/>
        </w:rPr>
        <w:t>A Top 18 Audit Firm</w:t>
      </w:r>
    </w:p>
    <w:p>
      <w:pPr>
        <w:pStyle w:val="TextBody"/>
        <w:bidi w:val="0"/>
        <w:spacing w:before="0" w:after="0"/>
        <w:ind w:left="614" w:right="0" w:hanging="0"/>
        <w:jc w:val="left"/>
        <w:rPr>
          <w:rFonts w:ascii="Times New Roman;Times;Serif" w:hAnsi="Times New Roman;Times;Serif"/>
          <w:b w:val="false"/>
          <w:i w:val="false"/>
          <w:caps w:val="false"/>
          <w:smallCaps w:val="false"/>
          <w:color w:val="3333FF"/>
          <w:sz w:val="22"/>
        </w:rPr>
      </w:pPr>
      <w:r>
        <w:rPr>
          <w:rFonts w:ascii="Times New Roman;Times;Serif" w:hAnsi="Times New Roman;Times;Serif"/>
          <w:b w:val="false"/>
          <w:i w:val="false"/>
          <w:caps w:val="false"/>
          <w:smallCaps w:val="false"/>
          <w:color w:val="3333FF"/>
          <w:sz w:val="22"/>
        </w:rPr>
        <w:t>10 Anson Road, #20-16 International Plaza, Singapore 079903.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8000"/>
          <w:sz w:val="20"/>
        </w:rPr>
        <w:t>UEN: T12LL1223B GST Reg No: M90367663E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333FF"/>
          <w:sz w:val="20"/>
        </w:rPr>
        <w:t>Tel: (65) 6227 5428</w:t>
      </w:r>
    </w:p>
    <w:p>
      <w:pPr>
        <w:pStyle w:val="TextBody"/>
        <w:bidi w:val="0"/>
        <w:spacing w:before="0" w:after="0"/>
        <w:ind w:left="119" w:right="0" w:hanging="0"/>
        <w:jc w:val="left"/>
        <w:rPr>
          <w:caps w:val="false"/>
          <w:smallCaps w:val="false"/>
          <w:color w:val="0000FF"/>
        </w:rPr>
      </w:pPr>
      <w:r>
        <w:rPr>
          <w:caps w:val="false"/>
          <w:smallCaps w:val="false"/>
          <w:color w:val="0000FF"/>
        </w:rPr>
        <w:t> </w:t>
      </w:r>
    </w:p>
    <w:p>
      <w:pPr>
        <w:pStyle w:val="TextBody"/>
        <w:bidi w:val="0"/>
        <w:spacing w:before="0" w:after="0"/>
        <w:ind w:left="119" w:right="0" w:hanging="0"/>
        <w:jc w:val="left"/>
        <w:rPr>
          <w:rFonts w:ascii="Times New Roman;Times;Serif" w:hAnsi="Times New Roman;Times;Serif"/>
          <w:b/>
          <w:i w:val="false"/>
          <w:caps w:val="false"/>
          <w:smallCaps w:val="false"/>
          <w:color w:val="0000FF"/>
          <w:sz w:val="18"/>
        </w:rPr>
      </w:pPr>
      <w:r>
        <w:rPr>
          <w:rFonts w:ascii="Times New Roman;Times;Serif" w:hAnsi="Times New Roman;Times;Serif"/>
          <w:b/>
          <w:i w:val="false"/>
          <w:caps w:val="false"/>
          <w:smallCaps w:val="false"/>
          <w:color w:val="0000FF"/>
          <w:sz w:val="18"/>
        </w:rPr>
        <w:t xml:space="preserve">Website: </w:t>
      </w:r>
      <w:r>
        <w:rPr>
          <w:rFonts w:ascii="Times New Roman;Times;Serif" w:hAnsi="Times New Roman;Times;Serif"/>
          <w:b/>
          <w:i w:val="false"/>
          <w:caps w:val="false"/>
          <w:smallCaps w:val="false"/>
          <w:color w:val="0000FF"/>
          <w:sz w:val="18"/>
          <w:u w:val="single"/>
        </w:rPr>
        <w:t>www.allianceaudit.com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S-3(No. 333-298648) of our report dated February 27, 2026, with respect to the consolidated financial statements of Elite Express Holding, Inc. as of November 30, 2025 and for the year ended November 30, 2025, which appears in the annual report on Form 10-K of Elite Express Holding, Inc. for the year ended November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Audit Alliance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 w:right="87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2" w:right="87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2" w:right="878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bookmarkStart w:id="21" w:name="tm2623148d2_ex23-2.htm"/>
      <w:bookmarkStart w:id="22" w:name="kstm2623148d2_ex232"/>
      <w:bookmarkEnd w:id="21"/>
      <w:bookmarkEnd w:id="2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28700"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5"/>
                    <a:stretch>
                      <a:fillRect/>
                    </a:stretch>
                  </pic:blipFill>
                  <pic:spPr bwMode="auto">
                    <a:xfrm>
                      <a:off x="0" y="0"/>
                      <a:ext cx="1028700"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hereby consent to the incorporation by reference in the Registration Statement of </w:t>
      </w:r>
      <w:r>
        <w:rPr>
          <w:rFonts w:ascii="Times New Roman;Times;Serif" w:hAnsi="Times New Roman;Times;Serif"/>
          <w:b/>
          <w:i w:val="false"/>
          <w:caps w:val="false"/>
          <w:smallCaps w:val="false"/>
          <w:sz w:val="20"/>
        </w:rPr>
        <w:t>Elite Express Holding Inc.</w:t>
      </w:r>
      <w:r>
        <w:rPr>
          <w:rFonts w:ascii="Times New Roman;Times;Serif" w:hAnsi="Times New Roman;Times;Serif"/>
          <w:b w:val="false"/>
          <w:i w:val="false"/>
          <w:caps w:val="false"/>
          <w:smallCaps w:val="false"/>
          <w:sz w:val="20"/>
        </w:rPr>
        <w:t xml:space="preserve"> and its subsidiaries (the "Company"), on Form S-3, of our report dated February 20, 2025, except for Notes 4, 7, 12 and 14 as to which the date is April 3, 2025, and Notes 8 and 9 as to which the date is May 5, 2025 relating to our audits of the consolidated balance sheet of the Company as of November 30, 2024 (Successor Company) and balance sheet of Jar Transportation Inc. as of November 30, 2023 (Predecessor Company), the related consolidated statements of operations, changes in stockholders’ equity (deficit), and cash flows for the period from October 26, 2024 to November 30, 2024 (Successor Company), for the period from December 1, 2023 to October 25, 2024 (Predecessor Company), and for the year ended November 30, 2023 (Predecessor Company), appearing in the Prospectus and included as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the Prospectus, which forms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Golden Eagle CPAs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Bedminster, New Jersey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2053641/000110465926021557/ets-20251130x10k.htm" TargetMode="External"/><Relationship Id="rId4" Type="http://schemas.openxmlformats.org/officeDocument/2006/relationships/hyperlink" Target="https://www.sec.gov/ix?doc=/Archives/edgar/data/2053641/000110465926029622/tm269114d1_10ka.htm" TargetMode="External"/><Relationship Id="rId5" Type="http://schemas.openxmlformats.org/officeDocument/2006/relationships/hyperlink" Target="https://www.sec.gov/ix?doc=/Archives/edgar/data/2053641/000110465926021557/ets-20251130x10k.htm" TargetMode="External"/><Relationship Id="rId6" Type="http://schemas.openxmlformats.org/officeDocument/2006/relationships/hyperlink" Target="https://www.sec.gov/ix?doc=/Archives/edgar/data/2053641/000110465926021557/ets-20251130x10k.htm" TargetMode="External"/><Relationship Id="rId7" Type="http://schemas.openxmlformats.org/officeDocument/2006/relationships/hyperlink" Target="https://www.sec.gov/ix?doc=/Archives/edgar/data/2053641/000110465926029622/tm269114d1_10ka.htm" TargetMode="External"/><Relationship Id="rId8" Type="http://schemas.openxmlformats.org/officeDocument/2006/relationships/hyperlink" Target="https://www.sec.gov/ix?doc=/Archives/edgar/data/2053641/000110465926042622/ets-20260228x10q.htm" TargetMode="External"/><Relationship Id="rId9" Type="http://schemas.openxmlformats.org/officeDocument/2006/relationships/hyperlink" Target="https://www.sec.gov/ix?doc=/Archives/edgar/data/2053641/000110465926083496/ets-20260531x10q.htm" TargetMode="External"/><Relationship Id="rId10" Type="http://schemas.openxmlformats.org/officeDocument/2006/relationships/hyperlink" Target="https://www.sec.gov/ix?doc=/Archives/edgar/data/2053641/000110465925118576/tm2532776d1_8k.htm" TargetMode="External"/><Relationship Id="rId11" Type="http://schemas.openxmlformats.org/officeDocument/2006/relationships/hyperlink" Target="https://www.sec.gov/ix?doc=/Archives/edgar/data/2053641/000110465925121582/tm2533636d1_8k.htm" TargetMode="External"/><Relationship Id="rId12" Type="http://schemas.openxmlformats.org/officeDocument/2006/relationships/hyperlink" Target="https://www.sec.gov/ix?doc=/Archives/edgar/data/2053641/000110465926026391/tm268578d1_8k.htm" TargetMode="External"/><Relationship Id="rId13" Type="http://schemas.openxmlformats.org/officeDocument/2006/relationships/hyperlink" Target="https://www.sec.gov/ix?doc=/Archives/edgar/data/2053641/000110465926052916/tm2613257d1_8k.htm" TargetMode="External"/><Relationship Id="rId14" Type="http://schemas.openxmlformats.org/officeDocument/2006/relationships/hyperlink" Target="https://www.sec.gov/ix?doc=/Archives/edgar/data/2053641/000110465926071441/tm2617088d1_8k.htm" TargetMode="External"/><Relationship Id="rId15" Type="http://schemas.openxmlformats.org/officeDocument/2006/relationships/hyperlink" Target="https://www.sec.gov/ix?doc=/Archives/edgar/data/2053641/000110465926092685/tm2622514d1_8k.htm" TargetMode="External"/><Relationship Id="rId16" Type="http://schemas.openxmlformats.org/officeDocument/2006/relationships/hyperlink" Target="https://www.sec.gov/ix?doc=/Archives/edgar/data/2053641/000110465926105925/tm2624935d1_8k.htm" TargetMode="External"/><Relationship Id="rId17" Type="http://schemas.openxmlformats.org/officeDocument/2006/relationships/hyperlink" Target="https://www.sec.gov/Archives/edgar/data/2053641/000110465925080758/tm254980d13_8a12b.htm" TargetMode="External"/><Relationship Id="rId18" Type="http://schemas.openxmlformats.org/officeDocument/2006/relationships/hyperlink" Target="http://www.sec.gov/Archives/edgar/data/2053641/000110465925044357/tm254980d4_ex3-1.htm" TargetMode="External"/><Relationship Id="rId19" Type="http://schemas.openxmlformats.org/officeDocument/2006/relationships/hyperlink" Target="https://www.sec.gov/Archives/edgar/data/2053641/000110465925044357/tm254980d4_ex3-2.htm" TargetMode="External"/><Relationship Id="rId20" Type="http://schemas.openxmlformats.org/officeDocument/2006/relationships/hyperlink" Target="https://www.sec.gov/Archives/edgar/data/2053641/000110465925044357/tm254980d4_ex4-1.htm" TargetMode="External"/><Relationship Id="rId21" Type="http://schemas.openxmlformats.org/officeDocument/2006/relationships/hyperlink" Target="https://www.sec.gov/Archives/edgar/data/2053641/000110465926103393/tm2623148d1_ex5-1.htm" TargetMode="External"/><Relationship Id="rId22" Type="http://schemas.openxmlformats.org/officeDocument/2006/relationships/hyperlink" Target="https://www.sec.gov/Archives/edgar/data/2053641/000110465926103393/tm2623148d1_ex5-1.htm" TargetMode="External"/><Relationship Id="rId23" Type="http://schemas.openxmlformats.org/officeDocument/2006/relationships/hyperlink" Target="https://www.sec.gov/Archives/edgar/data/2053641/000110465926103393/tm2623148d1_ex5-1.htm" TargetMode="External"/><Relationship Id="rId24" Type="http://schemas.openxmlformats.org/officeDocument/2006/relationships/hyperlink" Target="https://www.sec.gov/Archives/edgar/data/2053641/000110465926103393/tm2623148d1_ex5-1.htm" TargetMode="External"/><Relationship Id="rId25" Type="http://schemas.openxmlformats.org/officeDocument/2006/relationships/hyperlink" Target="https://www.sec.gov/Archives/edgar/data/2053641/000110465926103393/tm2623148d1_ex5-1.htm" TargetMode="External"/><Relationship Id="rId26" Type="http://schemas.openxmlformats.org/officeDocument/2006/relationships/hyperlink" Target="https://www.sec.gov/Archives/edgar/data/2053641/000110465926103393/tm2623148d1_ex5-1.htm" TargetMode="External"/><Relationship Id="rId27" Type="http://schemas.openxmlformats.org/officeDocument/2006/relationships/hyperlink" Target="https://www.sec.gov/Archives/edgar/data/2053641/000110465926103393/tm2623148d1_ex5-1.htm" TargetMode="External"/><Relationship Id="rId28" Type="http://schemas.openxmlformats.org/officeDocument/2006/relationships/hyperlink" Target="https://www.sec.gov/Archives/edgar/data/2053641/000110465926103393/tm2623148d1_ex5-1.htm" TargetMode="External"/><Relationship Id="rId29" Type="http://schemas.openxmlformats.org/officeDocument/2006/relationships/hyperlink" Target="https://www.sec.gov/ix?doc=/Archives/edgar/data/2053641/000110465926103393/tm2623148d1_ex-filingfees.htm" TargetMode="External"/><Relationship Id="rId30" Type="http://schemas.openxmlformats.org/officeDocument/2006/relationships/hyperlink" Target="https://www.sec.gov/ix?doc=/Archives/edgar/data/2053641/000110465926103393/tm2623148d1_ex-filingfees.htm" TargetMode="External"/><Relationship Id="rId31" Type="http://schemas.openxmlformats.org/officeDocument/2006/relationships/hyperlink" Target="https://www.sec.gov/ix?doc=/Archives/edgar/data/2053641/000110465926103393/tm2623148d1_ex-filingfees.htm" TargetMode="External"/><Relationship Id="rId32" Type="http://schemas.openxmlformats.org/officeDocument/2006/relationships/hyperlink" Target="https://www.sec.gov/ix?doc=/Archives/edgar/data/2053641/000110465926103393/tm2623148d1_ex-filingfees.htm" TargetMode="External"/><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4.gif"/><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13581</Words>
  <Characters>71343</Characters>
  <CharactersWithSpaces>85043</CharactersWithSpaces>
  <Paragraphs>1121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