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7474d1_8k.htm"/>
      <w:bookmarkStart w:id="1" w:name="kstm267474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22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6_edei--DocumentPeriodEndDate_c202"/>
      <w:bookmarkEnd w:id="3"/>
      <w:r>
        <w:rPr>
          <w:rFonts w:ascii="Times New Roman;Times;Serif" w:hAnsi="Times New Roman;Times;Serif"/>
          <w:b/>
          <w:i w:val="false"/>
          <w:caps w:val="false"/>
          <w:smallCaps w:val="false"/>
          <w:sz w:val="20"/>
        </w:rPr>
        <w:t xml:space="preserve">February 27, 2026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C_edei--EntityRegistrantName_c2026"/>
      <w:bookmarkEnd w:id="4"/>
      <w:r>
        <w:rPr>
          <w:rFonts w:ascii="Times New Roman;Times;Serif" w:hAnsi="Times New Roman;Times;Serif"/>
          <w:b/>
          <w:i w:val="false"/>
          <w:caps w:val="false"/>
          <w:smallCaps w:val="false"/>
          <w:sz w:val="28"/>
          <w:u w:val="single"/>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180"/>
        <w:gridCol w:w="75"/>
        <w:gridCol w:w="2270"/>
        <w:gridCol w:w="75"/>
        <w:gridCol w:w="1610"/>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75" w:type="dxa"/>
            <w:tcBorders/>
            <w:tcMar>
              <w:bottom w:w="0" w:type="dxa"/>
            </w:tcMar>
            <w:vAlign w:val="center"/>
          </w:tcPr>
          <w:p>
            <w:pPr>
              <w:pStyle w:val="TableContents"/>
              <w:bidi w:val="0"/>
              <w:spacing w:before="0" w:after="283"/>
              <w:jc w:val="left"/>
              <w:rPr/>
            </w:pPr>
            <w:r>
              <w:rPr/>
              <w:t> </w:t>
            </w:r>
          </w:p>
        </w:tc>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227"/>
            <w:bookmarkEnd w:id="6"/>
            <w:r>
              <w:rPr>
                <w:rFonts w:ascii="Times New Roman;Times;Serif" w:hAnsi="Times New Roman;Times;Serif"/>
                <w:b/>
                <w:sz w:val="20"/>
              </w:rPr>
              <w:t>001-42811</w:t>
            </w:r>
          </w:p>
        </w:tc>
        <w:tc>
          <w:tcPr>
            <w:tcW w:w="75"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99-2516128</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75"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Number) </w:t>
            </w:r>
          </w:p>
        </w:tc>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 xml:space="preserve">Identification No.) </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3440"/>
        <w:gridCol w:w="60"/>
        <w:gridCol w:w="965"/>
      </w:tblGrid>
      <w:tr>
        <w:trPr/>
        <w:tc>
          <w:tcPr>
            <w:tcW w:w="34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23046 Avenida De La Carlota, </w:t>
            </w:r>
            <w:bookmarkStart w:id="9" w:name="xdx_904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Laguna Hills, </w:t>
            </w:r>
            <w:bookmarkStart w:id="11" w:name="xdx_90B_edei--EntityAddressStateOrProvin"/>
            <w:bookmarkEnd w:id="11"/>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0_edei--EntityAddressPostalZipCode"/>
            <w:bookmarkEnd w:id="12"/>
            <w:r>
              <w:rPr>
                <w:rFonts w:ascii="Times New Roman;Times;Serif" w:hAnsi="Times New Roman;Times;Serif"/>
                <w:b/>
                <w:sz w:val="20"/>
              </w:rPr>
              <w:t>92653</w:t>
            </w:r>
          </w:p>
        </w:tc>
      </w:tr>
      <w:tr>
        <w:trPr/>
        <w:tc>
          <w:tcPr>
            <w:tcW w:w="34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Offices)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(Zip Code)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227__20"/>
      <w:bookmarkEnd w:id="13"/>
      <w:r>
        <w:rPr>
          <w:rFonts w:ascii="Times New Roman;Times;Serif" w:hAnsi="Times New Roman;Times;Serif"/>
          <w:b/>
          <w:i w:val="false"/>
          <w:caps w:val="false"/>
          <w:smallCaps w:val="false"/>
          <w:sz w:val="20"/>
        </w:rPr>
        <w:t xml:space="preserve">949) </w:t>
      </w:r>
      <w:bookmarkStart w:id="14" w:name="xdx_90F_edei--LocalPhoneNumber_c20260227"/>
      <w:bookmarkEnd w:id="14"/>
      <w:r>
        <w:rPr>
          <w:rFonts w:ascii="Times New Roman;Times;Serif" w:hAnsi="Times New Roman;Times;Serif"/>
          <w:b/>
          <w:i w:val="false"/>
          <w:caps w:val="false"/>
          <w:smallCaps w:val="false"/>
          <w:sz w:val="20"/>
        </w:rPr>
        <w:t>758-0650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05"/>
        <w:gridCol w:w="5555"/>
      </w:tblGrid>
      <w:tr>
        <w:trPr/>
        <w:tc>
          <w:tcPr>
            <w:tcW w:w="305" w:type="dxa"/>
            <w:tcBorders/>
            <w:vAlign w:val="center"/>
          </w:tcPr>
          <w:p>
            <w:pPr>
              <w:pStyle w:val="TableContents"/>
              <w:bidi w:val="0"/>
              <w:spacing w:before="0" w:after="283"/>
              <w:jc w:val="left"/>
              <w:rPr/>
            </w:pPr>
            <w:bookmarkStart w:id="16" w:name="xdx_90A_edei--SolicitingMaterial_c202602"/>
            <w:bookmarkEnd w:id="16"/>
            <w:r>
              <w:rPr/>
              <w:t>☐ </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283"/>
              <w:jc w:val="left"/>
              <w:rPr/>
            </w:pPr>
            <w:bookmarkStart w:id="17" w:name="xdx_904_edei--PreCommencementTenderOffer"/>
            <w:bookmarkEnd w:id="17"/>
            <w:r>
              <w:rPr/>
              <w:t>☐ </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bookmarkStart w:id="18" w:name="xdx_90A_edei--PreCommencementIssuerTende"/>
            <w:bookmarkEnd w:id="18"/>
            <w:r>
              <w:rPr/>
              <w:t>☐ </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Security12bTitle_c20260227"/>
            <w:bookmarkEnd w:id="19"/>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E_edei--TradingSymbol_c20260227__2"/>
            <w:bookmarkEnd w:id="20"/>
            <w:r>
              <w:rPr>
                <w:rFonts w:ascii="Times New Roman;Times;Serif" w:hAnsi="Times New Roman;Times;Serif"/>
                <w:sz w:val="20"/>
              </w:rPr>
              <w:t>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C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C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b/>
                <w:sz w:val="20"/>
              </w:rPr>
            </w:pPr>
            <w:r>
              <w:rPr>
                <w:b/>
                <w:sz w:val="20"/>
              </w:rPr>
              <w:t>Item 2.02</w:t>
            </w:r>
          </w:p>
        </w:tc>
        <w:tc>
          <w:tcPr>
            <w:tcW w:w="3980" w:type="dxa"/>
            <w:tcBorders/>
            <w:vAlign w:val="center"/>
          </w:tcPr>
          <w:p>
            <w:pPr>
              <w:pStyle w:val="TableContents"/>
              <w:bidi w:val="0"/>
              <w:spacing w:before="0" w:after="283"/>
              <w:jc w:val="both"/>
              <w:rPr>
                <w:b/>
                <w:sz w:val="20"/>
              </w:rPr>
            </w:pPr>
            <w:r>
              <w:rPr>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Elite Express Holding Inc. issued a press release to announce its financial results for the fiscal year ended November 30, 2025.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830"/>
        <w:gridCol w:w="785"/>
      </w:tblGrid>
      <w:tr>
        <w:trPr/>
        <w:tc>
          <w:tcPr>
            <w:tcW w:w="830" w:type="dxa"/>
            <w:tcBorders/>
            <w:vAlign w:val="center"/>
          </w:tcPr>
          <w:p>
            <w:pPr>
              <w:pStyle w:val="TableContents"/>
              <w:bidi w:val="0"/>
              <w:spacing w:before="0" w:after="283"/>
              <w:jc w:val="left"/>
              <w:rPr>
                <w:b/>
                <w:sz w:val="20"/>
              </w:rPr>
            </w:pPr>
            <w:r>
              <w:rPr>
                <w:b/>
                <w:sz w:val="20"/>
              </w:rPr>
              <w:t>Item 9.01</w:t>
            </w:r>
          </w:p>
        </w:tc>
        <w:tc>
          <w:tcPr>
            <w:tcW w:w="785" w:type="dxa"/>
            <w:tcBorders/>
            <w:vAlign w:val="center"/>
          </w:tcPr>
          <w:p>
            <w:pPr>
              <w:pStyle w:val="TableContents"/>
              <w:bidi w:val="0"/>
              <w:spacing w:before="0" w:after="283"/>
              <w:jc w:val="both"/>
              <w:rPr>
                <w:b/>
                <w:sz w:val="20"/>
              </w:rPr>
            </w:pPr>
            <w:r>
              <w:rPr>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hyperlink w:anchor="tm267474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7474d1_ex99-1.htm">
              <w:r>
                <w:rPr>
                  <w:rStyle w:val="InternetLink"/>
                  <w:sz w:val="20"/>
                </w:rPr>
                <w:t>Press Release dated February 27, 2026</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27, 2026</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320"/>
        <w:gridCol w:w="3845"/>
      </w:tblGrid>
      <w:tr>
        <w:trPr/>
        <w:tc>
          <w:tcPr>
            <w:tcW w:w="7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b/>
                <w:sz w:val="20"/>
              </w:rPr>
            </w:pPr>
            <w:r>
              <w:rPr>
                <w:b/>
                <w:sz w:val="20"/>
              </w:rPr>
              <w:t>Elite Express Holding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84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sz w:val="20"/>
              </w:rPr>
            </w:pPr>
            <w:r>
              <w:rPr>
                <w:sz w:val="20"/>
              </w:rPr>
              <w:t>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sz w:val="20"/>
              </w:rPr>
            </w:pPr>
            <w:r>
              <w:rPr>
                <w:sz w:val="20"/>
              </w:rPr>
              <w:t>Chief Executive Officer, President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24" w:name="tm267474d1_ex99-1.htm"/>
      <w:bookmarkStart w:id="25" w:name="kstm267474d1_ex991"/>
      <w:bookmarkEnd w:id="24"/>
      <w:bookmarkEnd w:id="25"/>
      <w:r>
        <w:rPr>
          <w:b/>
        </w:rPr>
        <w:t>Exhibit 99.1</w:t>
      </w:r>
      <w:r>
        <w:br w:type="page"/>
      </w:r>
    </w:p>
    <w:p>
      <w:pPr>
        <w:pStyle w:val="TextBody"/>
        <w:bidi w:val="0"/>
        <w:jc w:val="right"/>
        <w:rPr/>
      </w:pPr>
      <w:r>
        <w:rPr/>
        <w:t> </w:t>
      </w:r>
    </w:p>
    <w:p>
      <w:pPr>
        <w:pStyle w:val="TextBody"/>
        <w:bidi w:val="0"/>
        <w:jc w:val="right"/>
        <w:rPr/>
      </w:pPr>
      <w:r>
        <w:rPr/>
        <w:t> </w:t>
      </w:r>
      <w:r>
        <w:rPr/>
        <w:drawing>
          <wp:inline distT="0" distB="0" distL="0" distR="0">
            <wp:extent cx="183832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781050"/>
                    </a:xfrm>
                    <a:prstGeom prst="rect">
                      <a:avLst/>
                    </a:prstGeom>
                  </pic:spPr>
                </pic:pic>
              </a:graphicData>
            </a:graphic>
          </wp:inline>
        </w:drawing>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Announces Full Year 2025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California, February 27, 2026 (GLOBE NEWSWIRE) – Elite Express Holding Inc. (“ETS” or the “Company”) (Nasdaq CM: ETS), a California-based provider of last-mile delivery services, today reported results for the financial year ended November 30, 2025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November 30, 2025, the Company reported revenue of approximately $2.7 million, representing a 9.1% increase compared with the same period in 2024. The Company reported a net loss of approximately $2.2 million compared with a net loss of approximately $0.4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Yidan Chen, ETS’s CEO commented, “Fiscal year 2025 represents a transformational year for ETS, marked by our successful transition to a publicly listed company on August 20, 2025. For the full year, we generated revenue of $2.7 million and achieved remained modestly profitable, reflecting continued operational improvements and disciplined execution under the FedEx ISP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While investments in compliance, governance, and public company infrastructure impacted our net results during the year, we view these expenditures as foundational to supporting long-term scalability and capital markets readiness. As we enter fiscal 2026, we remain focused on expanding fleet capacity, enhancing operational efficiency through technology, and strategically diversifying revenue streams beyond FedEx to broaden our growth platform. With sustained growth in e-commerce demand, we believe ETS is well positioned to pursue disciplined expansion and create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November 30, 2025, the Company reported revenue of approximately $2.7 million, representing an increase of approximately $0.2 million, or 9.1%, compared with approximately $2.5 million for the fiscal year ended November 30, 2024. Activity-based revenue accounted for approximately $2.0 million, or 75.7% of total revenue, during the fiscal year ended November 30, 2025, compared with approximately $1.7 million, or 70.2% of total revenue, for the same period in the prior year. This increase primarily reflected our continued emphasis on operational throughput under the FedEx ISP structure. In contrast, fixed revenue, including weekly service charges and branding-related revenue, declined from approximately $0.7 million to $0.6 million, a decrease of approximately $0.1 million, or 7.8%, primarily due to a reduction in baseline weekly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cost of revenue of approximately $2.6 million for the fiscal year ended November 30, 2025, compared with $2.4 million, for the fiscal year ended November 30, 2024. The slight increase is due primarily to higher labor costs, maintenance and repair fees, partially offset by lower fuel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November 30, 2025, we recorded our gross profit of $18,211, compared with a gross profit of $15,897, for the fiscal year ended November 30, 2024. The slight increase was primarily was primarily driven by the increase in activity-based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 increased by approximately $1.2 million, or 286.1%, to $1.6 million for the fiscal year ended November 30, 2025, from approximately $0.4 million for the fiscal year ended November 30, 2024. The increase was mainly due to (i) approximately $0.9 million in legal and accounting fees, primarily related to audit services, financial reporting, and SEC and regulatory compliance related to our transition to a public company; (ii) approximately $0.4 million in payroll expenses associated with personnel supporting corporate governance, internal controls, and administrative operations that were not incurred in the comparable Predecessor period, partially offset by (iii) a $0.1 million decrease in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fiscal year ended November 30, 2025 totaled $0.9 million, compared with $0 in the prior year. The Company did not engage in research and development activities during fiscal 2024. These expenses reflect the Company's strategic investment in B2B delivery aggregation platform to support long-term operational efficiency and competitive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E36C09"/>
          <w:sz w:val="28"/>
          <w:bdr w:val="single" w:sz="8" w:space="1" w:color="000000"/>
        </w:rPr>
      </w:pPr>
      <w:r>
        <w:rPr>
          <w:rFonts w:ascii="Times New Roman;Times;Serif" w:hAnsi="Times New Roman;Times;Serif"/>
          <w:b/>
          <w:i w:val="false"/>
          <w:caps w:val="false"/>
          <w:smallCaps w:val="false"/>
          <w:color w:val="E36C09"/>
          <w:sz w:val="28"/>
          <w:bdr w:val="single" w:sz="8" w:space="1" w:color="00000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Laguna Hills, CA 92653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38325" cy="781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8325" cy="7810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2025, the Company originated loans receivable totaling $10.0 million, which generated interest income of $191,475 for the year. The loans were extended to unrelated third-party business partners to provide short-term funding support for new venture testing, while enabling the Company to optimize returns on temporarily unallocated IPO proceeds prior to deployment into operating investments. Each loan bears interest at an annual rate of 8% and had an initial four-month term with original maturity dates in January 2026, extendable for an additional four months upon mutual written agreement, resulting in extended maturity dates of May 2026 for the relevant loans. All loans are secured by irrevocable personal unlimited joint and several liability guarantees provided by the shareholders or chief executive officers of the respective borrowers as credit enhancement. The Company has no related-party relationships with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$2.2 million for the fiscal year ended November 30, 2025, compared with a net loss of $0.4 million for the same period of 2024. The increased net loss was primarily attributable to higher general and administrative expenses related to public company compliance ($1.2 million increase) and new research and development investments ($0.9 million), partially offset by interest income of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federal securities laws. All statements other than statements of historical fact are forward-looking statements, including, but not limited to: projections of earnings, revenue, or other financial items; statements regarding the adequacy, availability, and sources of capital; statements of the plans, strategies, and objectives of management for future operations; statements concerning proposed new products, services, or developments; statements regarding future economic conditions or performance; statements of belief; and statements of assumptions underlying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may include the words “may,” “will,” “estimate,” “intend,” “continue,” “believe,” “expect,” “plan,” “project,” “anticipate,” and other similar expressions. These forward-looking statements are based on current expectations and assumptions and are subject to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those expressed or implied in the forward-looking statements include, among others, the risks and uncertainties described in the “Risk Factors” section of this Annual Report on Form 10-K and in our other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our forward-looking statements are reasonable, actual results could differ materially from those projected or assumed. Our future financial condition and results of operations are subject to change and to inherent risks and uncertainties. Except as required by law, we undertake no obligation to update any forward-looking statements to reflect events or circumstances after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Management’s Discussion and Analysis of Financial Condition and Results of Operations should be read in conjunction with our audited consolidated financial statements and the related notes included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758-0650</w:t>
        <w:br/>
      </w:r>
      <w:r>
        <w:rPr>
          <w:rFonts w:ascii="Times New Roman;Times;Serif" w:hAnsi="Times New Roman;Times;Serif"/>
          <w:b w:val="false"/>
          <w:i w:val="false"/>
          <w:caps w:val="false"/>
          <w:smallCaps w:val="false"/>
          <w:sz w:val="20"/>
          <w:u w:val="single"/>
        </w:rPr>
        <w:t>ir@eliteexpressholding.com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E36C09"/>
          <w:sz w:val="28"/>
          <w:bdr w:val="single" w:sz="8" w:space="1" w:color="000000"/>
        </w:rPr>
      </w:pPr>
      <w:r>
        <w:rPr>
          <w:rFonts w:ascii="Times New Roman;Times;Serif" w:hAnsi="Times New Roman;Times;Serif"/>
          <w:b/>
          <w:i w:val="false"/>
          <w:caps w:val="false"/>
          <w:smallCaps w:val="false"/>
          <w:color w:val="E36C09"/>
          <w:sz w:val="28"/>
          <w:bdr w:val="single" w:sz="8" w:space="1" w:color="00000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Laguna Hills, CA 92653</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1838325" cy="781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38325" cy="78105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OPERATIONS</w:t>
      </w:r>
    </w:p>
    <w:p>
      <w:pPr>
        <w:pStyle w:val="TextBody"/>
        <w:bidi w:val="0"/>
        <w:spacing w:before="0" w:after="0"/>
        <w:ind w:left="0" w:right="0" w:hanging="0"/>
        <w:jc w:val="left"/>
        <w:rPr>
          <w:caps w:val="false"/>
          <w:smallCaps w:val="false"/>
        </w:rPr>
      </w:pPr>
      <w:r>
        <w:rPr>
          <w:caps w:val="false"/>
          <w:smallCaps w:val="false"/>
        </w:rPr>
        <w:t> </w:t>
      </w:r>
    </w:p>
    <w:tbl>
      <w:tblPr>
        <w:tblW w:w="9122" w:type="dxa"/>
        <w:jc w:val="left"/>
        <w:tblInd w:w="0" w:type="dxa"/>
        <w:tblLayout w:type="fixed"/>
        <w:tblCellMar>
          <w:top w:w="0" w:type="dxa"/>
          <w:left w:w="0" w:type="dxa"/>
          <w:bottom w:w="0" w:type="dxa"/>
          <w:right w:w="0" w:type="dxa"/>
        </w:tblCellMar>
      </w:tblPr>
      <w:tblGrid>
        <w:gridCol w:w="3740"/>
        <w:gridCol w:w="60"/>
        <w:gridCol w:w="172"/>
        <w:gridCol w:w="1317"/>
        <w:gridCol w:w="80"/>
        <w:gridCol w:w="60"/>
        <w:gridCol w:w="199"/>
        <w:gridCol w:w="1515"/>
        <w:gridCol w:w="80"/>
        <w:gridCol w:w="60"/>
        <w:gridCol w:w="223"/>
        <w:gridCol w:w="1521"/>
        <w:gridCol w:w="9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Successor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Successor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Predecessor</w:t>
            </w:r>
          </w:p>
        </w:tc>
        <w:tc>
          <w:tcPr>
            <w:tcW w:w="9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b/>
                <w:sz w:val="20"/>
              </w:rPr>
            </w:pPr>
            <w:r>
              <w:rPr>
                <w:b/>
                <w:sz w:val="20"/>
              </w:rPr>
              <w:t>For the Period from</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center"/>
              <w:rPr>
                <w:b/>
                <w:sz w:val="20"/>
              </w:rPr>
            </w:pPr>
            <w:r>
              <w:rPr>
                <w:b/>
                <w:sz w:val="20"/>
              </w:rPr>
              <w:t>For the Period from</w:t>
            </w:r>
          </w:p>
        </w:tc>
        <w:tc>
          <w:tcPr>
            <w:tcW w:w="9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sz w:val="20"/>
              </w:rPr>
            </w:pPr>
            <w:r>
              <w:rPr>
                <w:b/>
                <w:sz w:val="20"/>
              </w:rPr>
              <w:t>For the Years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b/>
                <w:sz w:val="20"/>
              </w:rPr>
            </w:pPr>
            <w:r>
              <w:rPr>
                <w:b/>
                <w:sz w:val="20"/>
              </w:rPr>
              <w:t>October 26, 2024 to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center"/>
              <w:rPr>
                <w:b/>
                <w:sz w:val="20"/>
              </w:rPr>
            </w:pPr>
            <w:r>
              <w:rPr>
                <w:b/>
                <w:sz w:val="20"/>
              </w:rPr>
              <w:t>December 1, 2023 to</w:t>
            </w:r>
          </w:p>
        </w:tc>
        <w:tc>
          <w:tcPr>
            <w:tcW w:w="9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sz w:val="20"/>
              </w:rPr>
            </w:pPr>
            <w:r>
              <w:rPr>
                <w:b/>
                <w:sz w:val="20"/>
              </w:rPr>
              <w:t>Ended November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b/>
                <w:sz w:val="20"/>
              </w:rPr>
            </w:pPr>
            <w:r>
              <w:rPr>
                <w:b/>
                <w:sz w:val="20"/>
              </w:rPr>
              <w:t>November 30,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center"/>
              <w:rPr>
                <w:b/>
                <w:sz w:val="20"/>
              </w:rPr>
            </w:pPr>
            <w:r>
              <w:rPr>
                <w:b/>
                <w:sz w:val="20"/>
              </w:rPr>
              <w:t>October 25, 2024</w:t>
            </w:r>
          </w:p>
        </w:tc>
        <w:tc>
          <w:tcPr>
            <w:tcW w:w="9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Corrected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Corrected</w:t>
            </w:r>
          </w:p>
        </w:tc>
        <w:tc>
          <w:tcPr>
            <w:tcW w:w="9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sz w:val="20"/>
              </w:rPr>
            </w:pPr>
            <w:r>
              <w:rPr>
                <w:b/>
                <w:sz w:val="20"/>
              </w:rPr>
              <w:t>$</w:t>
            </w:r>
          </w:p>
        </w:tc>
        <w:tc>
          <w:tcPr>
            <w:tcW w:w="1317" w:type="dxa"/>
            <w:tcBorders/>
            <w:shd w:fill="CCEEFF" w:val="clear"/>
            <w:vAlign w:val="center"/>
          </w:tcPr>
          <w:p>
            <w:pPr>
              <w:pStyle w:val="TableContents"/>
              <w:bidi w:val="0"/>
              <w:spacing w:before="0" w:after="283"/>
              <w:jc w:val="right"/>
              <w:rPr>
                <w:b/>
                <w:sz w:val="20"/>
              </w:rPr>
            </w:pPr>
            <w:r>
              <w:rPr>
                <w:b/>
                <w:sz w:val="20"/>
              </w:rPr>
              <w:t>2,665,948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sz w:val="20"/>
              </w:rPr>
            </w:pPr>
            <w:r>
              <w:rPr>
                <w:b/>
                <w:sz w:val="20"/>
              </w:rPr>
              <w:t>$</w:t>
            </w:r>
          </w:p>
        </w:tc>
        <w:tc>
          <w:tcPr>
            <w:tcW w:w="1515" w:type="dxa"/>
            <w:tcBorders/>
            <w:shd w:fill="CCEEFF" w:val="clear"/>
            <w:vAlign w:val="center"/>
          </w:tcPr>
          <w:p>
            <w:pPr>
              <w:pStyle w:val="TableContents"/>
              <w:bidi w:val="0"/>
              <w:spacing w:before="0" w:after="283"/>
              <w:jc w:val="right"/>
              <w:rPr>
                <w:b/>
                <w:sz w:val="20"/>
              </w:rPr>
            </w:pPr>
            <w:r>
              <w:rPr>
                <w:b/>
                <w:sz w:val="20"/>
              </w:rPr>
              <w:t>251,049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b/>
                <w:sz w:val="20"/>
              </w:rPr>
            </w:pPr>
            <w:r>
              <w:rPr>
                <w:b/>
                <w:sz w:val="20"/>
              </w:rPr>
              <w:t>$</w:t>
            </w:r>
          </w:p>
        </w:tc>
        <w:tc>
          <w:tcPr>
            <w:tcW w:w="1521" w:type="dxa"/>
            <w:tcBorders/>
            <w:shd w:fill="CCEEFF" w:val="clear"/>
            <w:vAlign w:val="center"/>
          </w:tcPr>
          <w:p>
            <w:pPr>
              <w:pStyle w:val="TableContents"/>
              <w:bidi w:val="0"/>
              <w:spacing w:before="0" w:after="283"/>
              <w:jc w:val="right"/>
              <w:rPr>
                <w:b/>
                <w:sz w:val="20"/>
              </w:rPr>
            </w:pPr>
            <w:r>
              <w:rPr>
                <w:b/>
                <w:sz w:val="20"/>
              </w:rPr>
              <w:t>2,192,893</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b/>
                <w:sz w:val="20"/>
              </w:rPr>
            </w:pPr>
            <w:r>
              <w:rPr>
                <w:b/>
                <w:sz w:val="20"/>
              </w:rPr>
              <w:t>COST OF REVENUE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sz w:val="20"/>
              </w:rPr>
            </w:pPr>
            <w:r>
              <w:rPr>
                <w:sz w:val="20"/>
              </w:rPr>
              <w:t>Cost of service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sz w:val="20"/>
              </w:rPr>
            </w:pPr>
            <w:r>
              <w:rPr>
                <w:sz w:val="20"/>
              </w:rPr>
              <w:t>253,091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sz w:val="20"/>
              </w:rPr>
            </w:pPr>
            <w:r>
              <w:rPr>
                <w:sz w:val="20"/>
              </w:rPr>
              <w:t>34,740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sz w:val="20"/>
              </w:rPr>
            </w:pPr>
            <w:r>
              <w:rPr>
                <w:sz w:val="20"/>
              </w:rPr>
              <w:t>172,228</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sz w:val="20"/>
              </w:rPr>
            </w:pPr>
            <w:r>
              <w:rPr>
                <w:sz w:val="20"/>
              </w:rPr>
              <w:t>Cost of labor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sz w:val="20"/>
              </w:rPr>
            </w:pPr>
            <w:r>
              <w:rPr>
                <w:sz w:val="20"/>
              </w:rPr>
              <w:t>1,461,088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sz w:val="20"/>
              </w:rPr>
            </w:pPr>
            <w:r>
              <w:rPr>
                <w:sz w:val="20"/>
              </w:rPr>
              <w:t>183,703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sz w:val="20"/>
              </w:rPr>
            </w:pPr>
            <w:r>
              <w:rPr>
                <w:sz w:val="20"/>
              </w:rPr>
              <w:t>1,106,231</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sz w:val="20"/>
              </w:rPr>
            </w:pPr>
            <w:r>
              <w:rPr>
                <w:sz w:val="20"/>
              </w:rPr>
              <w:t>254,306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sz w:val="20"/>
              </w:rPr>
            </w:pPr>
            <w:r>
              <w:rPr>
                <w:sz w:val="20"/>
              </w:rPr>
              <w:t>25,323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sz w:val="20"/>
              </w:rPr>
            </w:pPr>
            <w:r>
              <w:rPr>
                <w:sz w:val="20"/>
              </w:rPr>
              <w:t>220,858</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sz w:val="20"/>
              </w:rPr>
            </w:pPr>
            <w:r>
              <w:rPr>
                <w:sz w:val="20"/>
              </w:rPr>
              <w:t>Fuel</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sz w:val="20"/>
              </w:rPr>
            </w:pPr>
            <w:r>
              <w:rPr>
                <w:sz w:val="20"/>
              </w:rPr>
              <w:t>402,750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sz w:val="20"/>
              </w:rPr>
            </w:pPr>
            <w:r>
              <w:rPr>
                <w:sz w:val="20"/>
              </w:rPr>
              <w:t>42,776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sz w:val="20"/>
              </w:rPr>
            </w:pPr>
            <w:r>
              <w:rPr>
                <w:sz w:val="20"/>
              </w:rPr>
              <w:t>368,108</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sz w:val="20"/>
              </w:rPr>
            </w:pPr>
            <w:r>
              <w:rPr>
                <w:sz w:val="20"/>
              </w:rPr>
              <w:t>Maintenance and repairs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276,502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258,481</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sz w:val="20"/>
              </w:rPr>
            </w:pPr>
            <w:r>
              <w:rPr>
                <w:sz w:val="20"/>
              </w:rPr>
              <w:t>Total cost of revenue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2,647,737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302,139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2,125,906</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b/>
                <w:sz w:val="20"/>
              </w:rPr>
            </w:pPr>
            <w:r>
              <w:rPr>
                <w:b/>
                <w:sz w:val="20"/>
              </w:rPr>
              <w:t>GROSS PROFIT (LOSS)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18,211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(51,090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66,987</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sz w:val="20"/>
              </w:rPr>
            </w:pPr>
            <w:r>
              <w:rPr>
                <w:sz w:val="20"/>
              </w:rPr>
              <w:t>1,599,284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sz w:val="20"/>
              </w:rPr>
            </w:pPr>
            <w:r>
              <w:rPr>
                <w:sz w:val="20"/>
              </w:rPr>
              <w:t>291,716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sz w:val="20"/>
              </w:rPr>
            </w:pPr>
            <w:r>
              <w:rPr>
                <w:sz w:val="20"/>
              </w:rPr>
              <w:t>122,462</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sz w:val="20"/>
              </w:rPr>
            </w:pPr>
            <w:r>
              <w:rPr>
                <w:sz w:val="20"/>
              </w:rPr>
              <w:t>R&amp;D expenses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922,772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2,522,056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291,716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122,462</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b/>
                <w:sz w:val="20"/>
              </w:rPr>
            </w:pPr>
            <w:r>
              <w:rPr>
                <w:b/>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(2,503,845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(342,806</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(55,475</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b/>
                <w:sz w:val="20"/>
              </w:rPr>
            </w:pPr>
            <w:r>
              <w:rPr>
                <w:b/>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sz w:val="20"/>
              </w:rPr>
            </w:pPr>
            <w:r>
              <w:rPr>
                <w:sz w:val="20"/>
              </w:rPr>
              <w:t>Interest income (expense)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sz w:val="20"/>
              </w:rPr>
            </w:pPr>
            <w:r>
              <w:rPr>
                <w:sz w:val="20"/>
              </w:rPr>
              <w:t>191,475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sz w:val="20"/>
              </w:rPr>
            </w:pPr>
            <w:r>
              <w:rPr>
                <w:sz w:val="20"/>
              </w:rPr>
              <w:t>(27,808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740" w:type="dxa"/>
            <w:tcBorders/>
            <w:shd w:fill="FFFFFF" w:val="clear"/>
            <w:vAlign w:val="center"/>
          </w:tcPr>
          <w:p>
            <w:pPr>
              <w:pStyle w:val="TableContents"/>
              <w:bidi w:val="0"/>
              <w:spacing w:before="0" w:after="283"/>
              <w:jc w:val="left"/>
              <w:rPr>
                <w:sz w:val="20"/>
              </w:rPr>
            </w:pPr>
            <w:r>
              <w:rPr>
                <w:sz w:val="20"/>
              </w:rPr>
              <w:t>Other income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5,164</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sz w:val="20"/>
              </w:rPr>
            </w:pPr>
            <w:r>
              <w:rPr>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212,760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(22,644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b/>
                <w:sz w:val="20"/>
              </w:rPr>
            </w:pPr>
            <w:r>
              <w:rPr>
                <w:b/>
                <w:sz w:val="20"/>
              </w:rPr>
              <w:t>LOSS BEFORE INCOME TAX BENEFIT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b/>
                <w:sz w:val="20"/>
              </w:rPr>
            </w:pPr>
            <w:r>
              <w:rPr>
                <w:b/>
                <w:sz w:val="20"/>
              </w:rPr>
              <w:t>(2,291,085</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b/>
                <w:sz w:val="20"/>
              </w:rPr>
            </w:pPr>
            <w:r>
              <w:rPr>
                <w:b/>
                <w:sz w:val="20"/>
              </w:rPr>
              <w:t>(342,806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b/>
                <w:sz w:val="20"/>
              </w:rPr>
            </w:pPr>
            <w:r>
              <w:rPr>
                <w:b/>
                <w:sz w:val="20"/>
              </w:rPr>
              <w:t>(78,119</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sz w:val="20"/>
              </w:rPr>
            </w:pPr>
            <w:r>
              <w:rPr>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(105,098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(42,103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(384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b/>
                <w:sz w:val="20"/>
              </w:rPr>
            </w:pPr>
            <w:r>
              <w:rPr>
                <w:b/>
                <w:sz w:val="20"/>
              </w:rPr>
              <w:t>NET LOSS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(2,185,987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51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(300,703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52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(77,735</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b/>
                <w:sz w:val="20"/>
              </w:rPr>
            </w:pPr>
            <w:r>
              <w:rPr>
                <w:b/>
                <w:sz w:val="20"/>
              </w:rPr>
              <w:t>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(0.16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51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(0.02</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52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b/>
                <w:sz w:val="20"/>
              </w:rPr>
            </w:pPr>
            <w:r>
              <w:rPr>
                <w:b/>
                <w:sz w:val="20"/>
              </w:rPr>
              <w:t>Weighted average shares - basic and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13,968,179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1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12,916,672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E36C09"/>
          <w:sz w:val="28"/>
          <w:bdr w:val="single" w:sz="8" w:space="1" w:color="000000"/>
        </w:rPr>
      </w:pPr>
      <w:r>
        <w:rPr>
          <w:rFonts w:ascii="Times New Roman;Times;Serif" w:hAnsi="Times New Roman;Times;Serif"/>
          <w:b/>
          <w:i w:val="false"/>
          <w:caps w:val="false"/>
          <w:smallCaps w:val="false"/>
          <w:color w:val="E36C09"/>
          <w:sz w:val="28"/>
          <w:bdr w:val="single" w:sz="8" w:space="1" w:color="00000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Laguna Hills, CA 92653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38325" cy="781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38325" cy="78105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8563" w:type="dxa"/>
        <w:jc w:val="left"/>
        <w:tblInd w:w="0" w:type="dxa"/>
        <w:tblLayout w:type="fixed"/>
        <w:tblCellMar>
          <w:top w:w="0" w:type="dxa"/>
          <w:left w:w="0" w:type="dxa"/>
          <w:bottom w:w="0" w:type="dxa"/>
          <w:right w:w="0" w:type="dxa"/>
        </w:tblCellMar>
      </w:tblPr>
      <w:tblGrid>
        <w:gridCol w:w="4970"/>
        <w:gridCol w:w="60"/>
        <w:gridCol w:w="194"/>
        <w:gridCol w:w="1475"/>
        <w:gridCol w:w="60"/>
        <w:gridCol w:w="60"/>
        <w:gridCol w:w="214"/>
        <w:gridCol w:w="1455"/>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Successor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Successor</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vAlign w:val="center"/>
          </w:tcPr>
          <w:p>
            <w:pPr>
              <w:pStyle w:val="TableContents"/>
              <w:bidi w:val="0"/>
              <w:spacing w:before="0" w:after="283"/>
              <w:jc w:val="center"/>
              <w:rPr>
                <w:b/>
                <w:sz w:val="20"/>
              </w:rPr>
            </w:pPr>
            <w:r>
              <w:rPr>
                <w:b/>
                <w:sz w:val="20"/>
              </w:rPr>
              <w:t>As of November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vAlign w:val="center"/>
          </w:tcPr>
          <w:p>
            <w:pPr>
              <w:pStyle w:val="TableContents"/>
              <w:bidi w:val="0"/>
              <w:spacing w:before="0" w:after="283"/>
              <w:jc w:val="center"/>
              <w:rPr>
                <w:b/>
                <w:sz w:val="20"/>
              </w:rPr>
            </w:pPr>
            <w:r>
              <w:rPr>
                <w:b/>
                <w:sz w:val="20"/>
              </w:rPr>
              <w:t>As of November 30,</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4970" w:type="dxa"/>
            <w:tcBorders/>
            <w:shd w:fill="FFFFFF" w:val="clear"/>
            <w:vAlign w:val="center"/>
          </w:tcPr>
          <w:p>
            <w:pPr>
              <w:pStyle w:val="TableContents"/>
              <w:bidi w:val="0"/>
              <w:spacing w:before="0" w:after="283"/>
              <w:jc w:val="left"/>
              <w:rPr>
                <w:b/>
                <w:sz w:val="20"/>
              </w:rPr>
            </w:pPr>
            <w:r>
              <w:rPr>
                <w:b/>
                <w:sz w:val="20"/>
              </w:rPr>
              <w:t>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20"/>
              </w:rPr>
            </w:pPr>
            <w:r>
              <w:rPr>
                <w:sz w:val="20"/>
              </w:rPr>
              <w:t>$</w:t>
            </w:r>
          </w:p>
        </w:tc>
        <w:tc>
          <w:tcPr>
            <w:tcW w:w="1475" w:type="dxa"/>
            <w:tcBorders/>
            <w:shd w:fill="CCEEFF" w:val="clear"/>
            <w:vAlign w:val="center"/>
          </w:tcPr>
          <w:p>
            <w:pPr>
              <w:pStyle w:val="TableContents"/>
              <w:bidi w:val="0"/>
              <w:spacing w:before="0" w:after="283"/>
              <w:jc w:val="right"/>
              <w:rPr>
                <w:sz w:val="20"/>
              </w:rPr>
            </w:pPr>
            <w:r>
              <w:rPr>
                <w:sz w:val="20"/>
              </w:rPr>
              <w:t>1,308,529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20"/>
              </w:rPr>
            </w:pPr>
            <w:r>
              <w:rPr>
                <w:sz w:val="20"/>
              </w:rPr>
              <w:t>$</w:t>
            </w:r>
          </w:p>
        </w:tc>
        <w:tc>
          <w:tcPr>
            <w:tcW w:w="1455" w:type="dxa"/>
            <w:tcBorders/>
            <w:shd w:fill="CCEEFF" w:val="clear"/>
            <w:vAlign w:val="center"/>
          </w:tcPr>
          <w:p>
            <w:pPr>
              <w:pStyle w:val="TableContents"/>
              <w:bidi w:val="0"/>
              <w:spacing w:before="0" w:after="283"/>
              <w:jc w:val="right"/>
              <w:rPr>
                <w:sz w:val="20"/>
              </w:rPr>
            </w:pPr>
            <w:r>
              <w:rPr>
                <w:sz w:val="20"/>
              </w:rPr>
              <w:t>170,157</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4970" w:type="dxa"/>
            <w:tcBorders/>
            <w:shd w:fill="FFFFFF" w:val="clear"/>
            <w:vAlign w:val="center"/>
          </w:tcPr>
          <w:p>
            <w:pPr>
              <w:pStyle w:val="TableContents"/>
              <w:bidi w:val="0"/>
              <w:spacing w:before="0" w:after="283"/>
              <w:jc w:val="left"/>
              <w:rPr>
                <w:sz w:val="20"/>
              </w:rPr>
            </w:pPr>
            <w:r>
              <w:rPr>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sz w:val="20"/>
              </w:rPr>
            </w:pPr>
            <w:r>
              <w:rPr>
                <w:sz w:val="20"/>
              </w:rPr>
              <w:t>72,582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sz w:val="20"/>
              </w:rPr>
            </w:pPr>
            <w:r>
              <w:rPr>
                <w:sz w:val="20"/>
              </w:rPr>
              <w:t>56,485</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sz w:val="20"/>
              </w:rPr>
            </w:pPr>
            <w:r>
              <w:rPr>
                <w:sz w:val="20"/>
              </w:rPr>
              <w:t>Loans Receivable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sz w:val="20"/>
              </w:rPr>
            </w:pPr>
            <w:r>
              <w:rPr>
                <w:sz w:val="20"/>
              </w:rPr>
              <w:t>9,999,811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4970" w:type="dxa"/>
            <w:tcBorders/>
            <w:shd w:fill="FFFFFF" w:val="clear"/>
            <w:vAlign w:val="center"/>
          </w:tcPr>
          <w:p>
            <w:pPr>
              <w:pStyle w:val="TableContents"/>
              <w:bidi w:val="0"/>
              <w:spacing w:before="0" w:after="283"/>
              <w:jc w:val="left"/>
              <w:rPr>
                <w:sz w:val="20"/>
              </w:rPr>
            </w:pPr>
            <w:r>
              <w:rPr>
                <w:sz w:val="20"/>
              </w:rPr>
              <w:t>Prepaid D&amp;O insurance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sz w:val="20"/>
              </w:rPr>
            </w:pPr>
            <w:r>
              <w:rPr>
                <w:sz w:val="20"/>
              </w:rPr>
              <w:t>102,443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898,191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113,260</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4970" w:type="dxa"/>
            <w:tcBorders/>
            <w:shd w:fill="FFFFFF" w:val="clear"/>
            <w:vAlign w:val="center"/>
          </w:tcPr>
          <w:p>
            <w:pPr>
              <w:pStyle w:val="TableContents"/>
              <w:bidi w:val="0"/>
              <w:spacing w:before="0" w:after="283"/>
              <w:jc w:val="left"/>
              <w:rPr>
                <w:b/>
                <w:sz w:val="20"/>
              </w:rPr>
            </w:pPr>
            <w:r>
              <w:rPr>
                <w:b/>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b/>
                <w:sz w:val="20"/>
              </w:rPr>
            </w:pPr>
            <w:r>
              <w:rPr>
                <w:b/>
                <w:sz w:val="20"/>
              </w:rPr>
              <w:t>12,381,556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b/>
                <w:sz w:val="20"/>
              </w:rPr>
            </w:pPr>
            <w:r>
              <w:rPr>
                <w:b/>
                <w:sz w:val="20"/>
              </w:rPr>
              <w:t>339,902</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13,705,022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5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1,831,350</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b/>
                <w:sz w:val="20"/>
              </w:rPr>
            </w:pPr>
            <w:r>
              <w:rPr>
                <w:b/>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4970" w:type="dxa"/>
            <w:tcBorders/>
            <w:shd w:fill="FFFFFF" w:val="clear"/>
            <w:vAlign w:val="center"/>
          </w:tcPr>
          <w:p>
            <w:pPr>
              <w:pStyle w:val="TableContents"/>
              <w:bidi w:val="0"/>
              <w:spacing w:before="0" w:after="283"/>
              <w:jc w:val="left"/>
              <w:rPr>
                <w:b/>
                <w:sz w:val="20"/>
              </w:rPr>
            </w:pPr>
            <w:r>
              <w:rPr>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513,155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348,660</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513,155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455,358</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b/>
                <w:sz w:val="20"/>
              </w:rPr>
            </w:pPr>
            <w:r>
              <w:rPr>
                <w:b/>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b/>
                <w:sz w:val="20"/>
              </w:rPr>
            </w:pPr>
            <w:r>
              <w:rPr>
                <w:b/>
                <w:sz w:val="20"/>
              </w:rPr>
              <w:t>13,191,867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b/>
                <w:sz w:val="20"/>
              </w:rPr>
            </w:pPr>
            <w:r>
              <w:rPr>
                <w:b/>
                <w:sz w:val="20"/>
              </w:rPr>
              <w:t>1,375,992</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b/>
                <w:sz w:val="20"/>
              </w:rPr>
            </w:pPr>
            <w:r>
              <w:rPr>
                <w:b/>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13,705,022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5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1,831,350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E36C09"/>
          <w:sz w:val="28"/>
          <w:bdr w:val="single" w:sz="8" w:space="1" w:color="000000"/>
        </w:rPr>
      </w:pPr>
      <w:r>
        <w:rPr>
          <w:rFonts w:ascii="Times New Roman;Times;Serif" w:hAnsi="Times New Roman;Times;Serif"/>
          <w:b/>
          <w:i w:val="false"/>
          <w:caps w:val="false"/>
          <w:smallCaps w:val="false"/>
          <w:color w:val="E36C09"/>
          <w:sz w:val="28"/>
          <w:bdr w:val="single" w:sz="8" w:space="1" w:color="00000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Laguna Hills, CA 92653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1838325" cy="781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38325" cy="78105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CASH FLOWS</w:t>
      </w:r>
    </w:p>
    <w:p>
      <w:pPr>
        <w:pStyle w:val="TextBody"/>
        <w:bidi w:val="0"/>
        <w:spacing w:before="0" w:after="0"/>
        <w:ind w:left="0" w:right="0" w:hanging="0"/>
        <w:jc w:val="left"/>
        <w:rPr>
          <w:caps w:val="false"/>
          <w:smallCaps w:val="false"/>
        </w:rPr>
      </w:pPr>
      <w:r>
        <w:rPr>
          <w:caps w:val="false"/>
          <w:smallCaps w:val="false"/>
        </w:rPr>
        <w:t> </w:t>
      </w:r>
    </w:p>
    <w:tbl>
      <w:tblPr>
        <w:tblW w:w="9617" w:type="dxa"/>
        <w:jc w:val="left"/>
        <w:tblInd w:w="0" w:type="dxa"/>
        <w:tblLayout w:type="fixed"/>
        <w:tblCellMar>
          <w:top w:w="0" w:type="dxa"/>
          <w:left w:w="0" w:type="dxa"/>
          <w:bottom w:w="0" w:type="dxa"/>
          <w:right w:w="0" w:type="dxa"/>
        </w:tblCellMar>
      </w:tblPr>
      <w:tblGrid>
        <w:gridCol w:w="4235"/>
        <w:gridCol w:w="60"/>
        <w:gridCol w:w="163"/>
        <w:gridCol w:w="1326"/>
        <w:gridCol w:w="80"/>
        <w:gridCol w:w="60"/>
        <w:gridCol w:w="221"/>
        <w:gridCol w:w="1493"/>
        <w:gridCol w:w="80"/>
        <w:gridCol w:w="60"/>
        <w:gridCol w:w="246"/>
        <w:gridCol w:w="1498"/>
        <w:gridCol w:w="9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Successor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Successor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Predecessor</w:t>
            </w:r>
          </w:p>
        </w:tc>
        <w:tc>
          <w:tcPr>
            <w:tcW w:w="9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b/>
                <w:sz w:val="20"/>
              </w:rPr>
            </w:pPr>
            <w:r>
              <w:rPr>
                <w:b/>
                <w:sz w:val="20"/>
              </w:rPr>
              <w:t>For the Period from</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center"/>
              <w:rPr>
                <w:b/>
                <w:sz w:val="20"/>
              </w:rPr>
            </w:pPr>
            <w:r>
              <w:rPr>
                <w:b/>
                <w:sz w:val="20"/>
              </w:rPr>
              <w:t>For the Period from</w:t>
            </w:r>
          </w:p>
        </w:tc>
        <w:tc>
          <w:tcPr>
            <w:tcW w:w="9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sz w:val="20"/>
              </w:rPr>
            </w:pPr>
            <w:r>
              <w:rPr>
                <w:b/>
                <w:sz w:val="20"/>
              </w:rPr>
              <w:t>For the Years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b/>
                <w:sz w:val="20"/>
              </w:rPr>
            </w:pPr>
            <w:r>
              <w:rPr>
                <w:b/>
                <w:sz w:val="20"/>
              </w:rPr>
              <w:t>October 26, 2024 to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center"/>
              <w:rPr>
                <w:b/>
                <w:sz w:val="20"/>
              </w:rPr>
            </w:pPr>
            <w:r>
              <w:rPr>
                <w:b/>
                <w:sz w:val="20"/>
              </w:rPr>
              <w:t>December 1, 2023 to</w:t>
            </w:r>
          </w:p>
        </w:tc>
        <w:tc>
          <w:tcPr>
            <w:tcW w:w="9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sz w:val="20"/>
              </w:rPr>
            </w:pPr>
            <w:r>
              <w:rPr>
                <w:b/>
                <w:sz w:val="20"/>
              </w:rPr>
              <w:t>Ended November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b/>
                <w:sz w:val="20"/>
              </w:rPr>
            </w:pPr>
            <w:r>
              <w:rPr>
                <w:b/>
                <w:sz w:val="20"/>
              </w:rPr>
              <w:t>November 30,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center"/>
              <w:rPr>
                <w:b/>
                <w:sz w:val="20"/>
              </w:rPr>
            </w:pPr>
            <w:r>
              <w:rPr>
                <w:b/>
                <w:sz w:val="20"/>
              </w:rPr>
              <w:t>October 25, 2024</w:t>
            </w:r>
          </w:p>
        </w:tc>
        <w:tc>
          <w:tcPr>
            <w:tcW w:w="9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Corrected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Corrected</w:t>
            </w:r>
          </w:p>
        </w:tc>
        <w:tc>
          <w:tcPr>
            <w:tcW w:w="95" w:type="dxa"/>
            <w:tcBorders/>
            <w:vAlign w:val="center"/>
          </w:tcPr>
          <w:p>
            <w:pPr>
              <w:pStyle w:val="TableContents"/>
              <w:bidi w:val="0"/>
              <w:spacing w:before="0" w:after="283"/>
              <w:ind w:left="0" w:right="0" w:hanging="144"/>
              <w:jc w:val="left"/>
              <w:rPr/>
            </w:pPr>
            <w:r>
              <w:rPr/>
              <w:t> </w:t>
            </w:r>
          </w:p>
        </w:tc>
      </w:tr>
      <w:tr>
        <w:trPr/>
        <w:tc>
          <w:tcPr>
            <w:tcW w:w="4235"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4235" w:type="dxa"/>
            <w:tcBorders/>
            <w:shd w:fill="FFFFFF" w:val="clear"/>
            <w:vAlign w:val="center"/>
          </w:tcPr>
          <w:p>
            <w:pPr>
              <w:pStyle w:val="TableContents"/>
              <w:bidi w:val="0"/>
              <w:spacing w:before="0" w:after="283"/>
              <w:jc w:val="left"/>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sz w:val="20"/>
              </w:rPr>
            </w:pPr>
            <w:r>
              <w:rPr>
                <w:b/>
                <w:sz w:val="20"/>
              </w:rPr>
              <w:t>$</w:t>
            </w:r>
          </w:p>
        </w:tc>
        <w:tc>
          <w:tcPr>
            <w:tcW w:w="1326" w:type="dxa"/>
            <w:tcBorders/>
            <w:shd w:fill="FFFFFF" w:val="clear"/>
            <w:vAlign w:val="center"/>
          </w:tcPr>
          <w:p>
            <w:pPr>
              <w:pStyle w:val="TableContents"/>
              <w:bidi w:val="0"/>
              <w:spacing w:before="0" w:after="283"/>
              <w:jc w:val="right"/>
              <w:rPr>
                <w:b/>
                <w:sz w:val="20"/>
              </w:rPr>
            </w:pPr>
            <w:r>
              <w:rPr>
                <w:b/>
                <w:sz w:val="20"/>
              </w:rPr>
              <w:t>(2,185,987</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b/>
                <w:sz w:val="20"/>
              </w:rPr>
            </w:pPr>
            <w:r>
              <w:rPr>
                <w:b/>
                <w:sz w:val="20"/>
              </w:rPr>
              <w:t>$</w:t>
            </w:r>
          </w:p>
        </w:tc>
        <w:tc>
          <w:tcPr>
            <w:tcW w:w="1493" w:type="dxa"/>
            <w:tcBorders/>
            <w:shd w:fill="FFFFFF" w:val="clear"/>
            <w:vAlign w:val="center"/>
          </w:tcPr>
          <w:p>
            <w:pPr>
              <w:pStyle w:val="TableContents"/>
              <w:bidi w:val="0"/>
              <w:spacing w:before="0" w:after="283"/>
              <w:jc w:val="right"/>
              <w:rPr>
                <w:b/>
                <w:sz w:val="20"/>
              </w:rPr>
            </w:pPr>
            <w:r>
              <w:rPr>
                <w:b/>
                <w:sz w:val="20"/>
              </w:rPr>
              <w:t>(300,703</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b/>
                <w:sz w:val="20"/>
              </w:rPr>
            </w:pPr>
            <w:r>
              <w:rPr>
                <w:b/>
                <w:sz w:val="20"/>
              </w:rPr>
              <w:t>$</w:t>
            </w:r>
          </w:p>
        </w:tc>
        <w:tc>
          <w:tcPr>
            <w:tcW w:w="1498" w:type="dxa"/>
            <w:tcBorders/>
            <w:shd w:fill="FFFFFF" w:val="clear"/>
            <w:vAlign w:val="center"/>
          </w:tcPr>
          <w:p>
            <w:pPr>
              <w:pStyle w:val="TableContents"/>
              <w:bidi w:val="0"/>
              <w:spacing w:before="0" w:after="283"/>
              <w:jc w:val="right"/>
              <w:rPr>
                <w:b/>
                <w:sz w:val="20"/>
              </w:rPr>
            </w:pPr>
            <w:r>
              <w:rPr>
                <w:b/>
                <w:sz w:val="20"/>
              </w:rPr>
              <w:t>(77,735</w:t>
            </w:r>
          </w:p>
        </w:tc>
        <w:tc>
          <w:tcPr>
            <w:tcW w:w="95" w:type="dxa"/>
            <w:tcBorders/>
            <w:shd w:fill="FFFFFF" w:val="clear"/>
            <w:vAlign w:val="center"/>
          </w:tcPr>
          <w:p>
            <w:pPr>
              <w:pStyle w:val="TableContents"/>
              <w:bidi w:val="0"/>
              <w:spacing w:before="0" w:after="283"/>
              <w:ind w:left="0" w:right="0" w:hanging="144"/>
              <w:jc w:val="left"/>
              <w:rPr>
                <w:b/>
                <w:sz w:val="20"/>
              </w:rPr>
            </w:pPr>
            <w:r>
              <w:rPr>
                <w:b/>
                <w:sz w:val="20"/>
              </w:rPr>
              <w:t>)</w:t>
            </w:r>
          </w:p>
        </w:tc>
      </w:tr>
      <w:tr>
        <w:trPr/>
        <w:tc>
          <w:tcPr>
            <w:tcW w:w="4235" w:type="dxa"/>
            <w:tcBorders/>
            <w:shd w:fill="CCEEFF" w:val="clear"/>
            <w:vAlign w:val="center"/>
          </w:tcPr>
          <w:p>
            <w:pPr>
              <w:pStyle w:val="TableContents"/>
              <w:bidi w:val="0"/>
              <w:spacing w:before="0" w:after="283"/>
              <w:jc w:val="left"/>
              <w:rPr>
                <w:b/>
                <w:sz w:val="20"/>
              </w:rPr>
            </w:pPr>
            <w:r>
              <w:rPr>
                <w:b/>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(2,819,786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(174,836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203,775</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b/>
                <w:sz w:val="20"/>
              </w:rPr>
            </w:pPr>
            <w:r>
              <w:rPr>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4235" w:type="dxa"/>
            <w:tcBorders/>
            <w:shd w:fill="FFFFFF" w:val="clear"/>
            <w:vAlign w:val="center"/>
          </w:tcPr>
          <w:p>
            <w:pPr>
              <w:pStyle w:val="TableContents"/>
              <w:bidi w:val="0"/>
              <w:spacing w:before="0" w:after="283"/>
              <w:jc w:val="left"/>
              <w:rPr>
                <w:b/>
                <w:sz w:val="20"/>
              </w:rPr>
            </w:pPr>
            <w:r>
              <w:rPr>
                <w:b/>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(10,086,136</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(899,669</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4235" w:type="dxa"/>
            <w:tcBorders/>
            <w:shd w:fill="CCEEFF" w:val="clear"/>
            <w:vAlign w:val="center"/>
          </w:tcPr>
          <w:p>
            <w:pPr>
              <w:pStyle w:val="TableContents"/>
              <w:bidi w:val="0"/>
              <w:spacing w:before="0" w:after="283"/>
              <w:jc w:val="left"/>
              <w:rPr>
                <w:b/>
                <w:sz w:val="20"/>
              </w:rPr>
            </w:pPr>
            <w:r>
              <w:rPr>
                <w:b/>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14,044,294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1,239,000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(194,995</w:t>
            </w:r>
          </w:p>
        </w:tc>
        <w:tc>
          <w:tcPr>
            <w:tcW w:w="95" w:type="dxa"/>
            <w:tcBorders/>
            <w:shd w:fill="CCEEFF" w:val="clear"/>
            <w:vAlign w:val="center"/>
          </w:tcPr>
          <w:p>
            <w:pPr>
              <w:pStyle w:val="TableContents"/>
              <w:bidi w:val="0"/>
              <w:spacing w:before="0" w:after="283"/>
              <w:ind w:left="0" w:right="0" w:hanging="144"/>
              <w:jc w:val="left"/>
              <w:rPr>
                <w:b/>
                <w:sz w:val="20"/>
              </w:rPr>
            </w:pPr>
            <w:r>
              <w:rPr>
                <w:b/>
                <w:sz w:val="20"/>
              </w:rPr>
              <w:t>)</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4235" w:type="dxa"/>
            <w:tcBorders/>
            <w:shd w:fill="CCEEFF" w:val="clear"/>
            <w:vAlign w:val="center"/>
          </w:tcPr>
          <w:p>
            <w:pPr>
              <w:pStyle w:val="TableContents"/>
              <w:bidi w:val="0"/>
              <w:spacing w:before="0" w:after="283"/>
              <w:jc w:val="left"/>
              <w:rPr>
                <w:b/>
                <w:sz w:val="20"/>
              </w:rPr>
            </w:pPr>
            <w:r>
              <w:rPr>
                <w:b/>
                <w:sz w:val="20"/>
              </w:rPr>
              <w:t>Net increase in cash</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b/>
                <w:sz w:val="20"/>
              </w:rPr>
            </w:pPr>
            <w:r>
              <w:rPr>
                <w:b/>
                <w:sz w:val="20"/>
              </w:rPr>
              <w:t>1,138,372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b/>
                <w:sz w:val="20"/>
              </w:rPr>
            </w:pPr>
            <w:r>
              <w:rPr>
                <w:b/>
                <w:sz w:val="20"/>
              </w:rPr>
              <w:t>164,495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b/>
                <w:sz w:val="20"/>
              </w:rPr>
            </w:pPr>
            <w:r>
              <w:rPr>
                <w:b/>
                <w:sz w:val="20"/>
              </w:rPr>
              <w:t>8,780</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4235" w:type="dxa"/>
            <w:tcBorders/>
            <w:shd w:fill="FFFFFF" w:val="clear"/>
            <w:vAlign w:val="center"/>
          </w:tcPr>
          <w:p>
            <w:pPr>
              <w:pStyle w:val="TableContents"/>
              <w:bidi w:val="0"/>
              <w:spacing w:before="0" w:after="283"/>
              <w:jc w:val="left"/>
              <w:rPr>
                <w:b/>
                <w:sz w:val="20"/>
              </w:rPr>
            </w:pPr>
            <w:r>
              <w:rPr>
                <w:b/>
                <w:sz w:val="20"/>
              </w:rPr>
              <w:t>Cash, beginning of period</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170,157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8"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54,712</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4235" w:type="dxa"/>
            <w:tcBorders/>
            <w:shd w:fill="CCEEFF" w:val="clear"/>
            <w:vAlign w:val="center"/>
          </w:tcPr>
          <w:p>
            <w:pPr>
              <w:pStyle w:val="TableContents"/>
              <w:bidi w:val="0"/>
              <w:spacing w:before="0" w:after="283"/>
              <w:jc w:val="left"/>
              <w:rPr>
                <w:b/>
                <w:sz w:val="20"/>
              </w:rPr>
            </w:pPr>
            <w:r>
              <w:rPr>
                <w:b/>
                <w:sz w:val="20"/>
              </w:rPr>
              <w:t>Cash, end of period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32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1,308,529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9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170,157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9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63,492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E36C09"/>
          <w:sz w:val="28"/>
          <w:bdr w:val="single" w:sz="8" w:space="1" w:color="000000"/>
        </w:rPr>
      </w:pPr>
      <w:r>
        <w:rPr>
          <w:rFonts w:ascii="Times New Roman;Times;Serif" w:hAnsi="Times New Roman;Times;Serif"/>
          <w:b/>
          <w:i w:val="false"/>
          <w:caps w:val="false"/>
          <w:smallCaps w:val="false"/>
          <w:color w:val="E36C09"/>
          <w:sz w:val="28"/>
          <w:bdr w:val="single" w:sz="8" w:space="1" w:color="00000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color w:val="595959"/>
          <w:sz w:val="20"/>
          <w:bdr w:val="single" w:sz="8" w:space="1" w:color="000000"/>
        </w:rPr>
      </w:pPr>
      <w:r>
        <w:rPr>
          <w:rFonts w:ascii="Times New Roman;Times;Serif" w:hAnsi="Times New Roman;Times;Serif"/>
          <w:b w:val="false"/>
          <w:i w:val="false"/>
          <w:caps w:val="false"/>
          <w:smallCaps w:val="false"/>
          <w:color w:val="595959"/>
          <w:sz w:val="20"/>
          <w:bdr w:val="single" w:sz="8" w:space="1" w:color="000000"/>
        </w:rPr>
        <w:t>Laguna Hills, CA 92653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2033</Words>
  <Characters>11720</Characters>
  <CharactersWithSpaces>14186</CharactersWithSpaces>
  <Paragraphs>1088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