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3257d1_8k.htm"/>
      <w:bookmarkStart w:id="1" w:name="kstm2613257d1_8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United States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8_edei--DocumentType_c2026043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C_edei--DocumentPeriodEndDate_c202"/>
      <w:bookmarkEnd w:id="3"/>
      <w:r>
        <w:rPr>
          <w:rFonts w:ascii="Times New Roman;Times;Serif" w:hAnsi="Times New Roman;Times;Serif"/>
          <w:b/>
          <w:i w:val="false"/>
          <w:caps w:val="false"/>
          <w:smallCaps w:val="false"/>
          <w:sz w:val="20"/>
        </w:rPr>
        <w:t xml:space="preserve">April 30, 2026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2_edei--EntityRegistrantName_c2026"/>
      <w:bookmarkEnd w:id="4"/>
      <w:r>
        <w:rPr>
          <w:rFonts w:ascii="Times New Roman;Times;Serif" w:hAnsi="Times New Roman;Times;Serif"/>
          <w:b/>
          <w:i w:val="false"/>
          <w:caps w:val="false"/>
          <w:smallCaps w:val="false"/>
          <w:sz w:val="28"/>
          <w:u w:val="single"/>
        </w:rPr>
        <w:t>Elite Express Holding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28" w:type="dxa"/>
          <w:right w:w="0" w:type="dxa"/>
        </w:tblCellMar>
      </w:tblPr>
      <w:tblGrid>
        <w:gridCol w:w="2180"/>
        <w:gridCol w:w="75"/>
        <w:gridCol w:w="2270"/>
        <w:gridCol w:w="75"/>
        <w:gridCol w:w="1610"/>
      </w:tblGrid>
      <w:tr>
        <w:trPr/>
        <w:tc>
          <w:tcPr>
            <w:tcW w:w="21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Delaware</w:t>
            </w:r>
          </w:p>
        </w:tc>
        <w:tc>
          <w:tcPr>
            <w:tcW w:w="75" w:type="dxa"/>
            <w:tcBorders/>
            <w:tcMar>
              <w:bottom w:w="0" w:type="dxa"/>
            </w:tcMar>
            <w:vAlign w:val="center"/>
          </w:tcPr>
          <w:p>
            <w:pPr>
              <w:pStyle w:val="TableContents"/>
              <w:bidi w:val="0"/>
              <w:spacing w:before="0" w:after="283"/>
              <w:jc w:val="left"/>
              <w:rPr/>
            </w:pPr>
            <w:r>
              <w:rPr/>
              <w:t> </w:t>
            </w:r>
          </w:p>
        </w:tc>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F_edei--EntityFileNumber_c20260430"/>
            <w:bookmarkEnd w:id="6"/>
            <w:r>
              <w:rPr>
                <w:rFonts w:ascii="Times New Roman;Times;Serif" w:hAnsi="Times New Roman;Times;Serif"/>
                <w:b/>
                <w:sz w:val="20"/>
              </w:rPr>
              <w:t>001-42811</w:t>
            </w:r>
          </w:p>
        </w:tc>
        <w:tc>
          <w:tcPr>
            <w:tcW w:w="75"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99-2516128</w:t>
            </w:r>
          </w:p>
        </w:tc>
      </w:tr>
      <w:tr>
        <w:trPr/>
        <w:tc>
          <w:tcPr>
            <w:tcW w:w="2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br/>
              <w:t>of incorporation)</w:t>
            </w:r>
          </w:p>
        </w:tc>
        <w:tc>
          <w:tcPr>
            <w:tcW w:w="75" w:type="dxa"/>
            <w:tcBorders/>
            <w:tcMar>
              <w:bottom w:w="0" w:type="dxa"/>
            </w:tcMar>
            <w:vAlign w:val="center"/>
          </w:tcPr>
          <w:p>
            <w:pPr>
              <w:pStyle w:val="TableContents"/>
              <w:bidi w:val="0"/>
              <w:spacing w:before="0" w:after="283"/>
              <w:jc w:val="left"/>
              <w:rPr/>
            </w:pPr>
            <w:r>
              <w:rPr/>
              <w:t> </w:t>
            </w:r>
          </w:p>
        </w:tc>
        <w:tc>
          <w:tcPr>
            <w:tcW w:w="227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(Commission File Number) </w:t>
            </w:r>
          </w:p>
        </w:tc>
        <w:tc>
          <w:tcPr>
            <w:tcW w:w="75"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 xml:space="preserve">Identification No.) </w:t>
            </w:r>
          </w:p>
        </w:tc>
      </w:tr>
    </w:tbl>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28" w:type="dxa"/>
          <w:right w:w="0" w:type="dxa"/>
        </w:tblCellMar>
      </w:tblPr>
      <w:tblGrid>
        <w:gridCol w:w="3440"/>
        <w:gridCol w:w="60"/>
        <w:gridCol w:w="965"/>
      </w:tblGrid>
      <w:tr>
        <w:trPr/>
        <w:tc>
          <w:tcPr>
            <w:tcW w:w="344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4_edei--EntityAddressAddressLine1_"/>
            <w:bookmarkEnd w:id="8"/>
            <w:r>
              <w:rPr>
                <w:rFonts w:ascii="Times New Roman;Times;Serif" w:hAnsi="Times New Roman;Times;Serif"/>
                <w:b/>
                <w:i w:val="false"/>
                <w:caps w:val="false"/>
                <w:smallCaps w:val="false"/>
                <w:sz w:val="20"/>
              </w:rPr>
              <w:t xml:space="preserve">23046 Avenida De La Carlota, </w:t>
            </w:r>
            <w:bookmarkStart w:id="9" w:name="xdx_90E_edei--EntityAddressAddressLine2_"/>
            <w:bookmarkEnd w:id="9"/>
            <w:r>
              <w:rPr>
                <w:rFonts w:ascii="Times New Roman;Times;Serif" w:hAnsi="Times New Roman;Times;Serif"/>
                <w:b/>
                <w:i w:val="false"/>
                <w:caps w:val="false"/>
                <w:smallCaps w:val="false"/>
                <w:sz w:val="20"/>
              </w:rPr>
              <w:t>Suite 600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C_edei--EntityAddressCityOrTown_c2"/>
            <w:bookmarkEnd w:id="10"/>
            <w:r>
              <w:rPr>
                <w:rFonts w:ascii="Times New Roman;Times;Serif" w:hAnsi="Times New Roman;Times;Serif"/>
                <w:b/>
                <w:i w:val="false"/>
                <w:caps w:val="false"/>
                <w:smallCaps w:val="false"/>
                <w:sz w:val="20"/>
              </w:rPr>
              <w:t xml:space="preserve">Laguna Hills, </w:t>
            </w:r>
            <w:bookmarkStart w:id="11" w:name="xdx_907_edei--EntityAddressStateOrProvin"/>
            <w:bookmarkEnd w:id="11"/>
            <w:r>
              <w:rPr>
                <w:rFonts w:ascii="Times New Roman;Times;Serif" w:hAnsi="Times New Roman;Times;Serif"/>
                <w:b/>
                <w:i w:val="false"/>
                <w:caps w:val="false"/>
                <w:smallCaps w:val="false"/>
                <w:sz w:val="20"/>
              </w:rPr>
              <w:t>CA</w:t>
            </w:r>
          </w:p>
        </w:tc>
        <w:tc>
          <w:tcPr>
            <w:tcW w:w="60" w:type="dxa"/>
            <w:tcBorders/>
            <w:tcMar>
              <w:bottom w:w="0" w:type="dxa"/>
            </w:tcMar>
            <w:vAlign w:val="center"/>
          </w:tcPr>
          <w:p>
            <w:pPr>
              <w:pStyle w:val="TableContents"/>
              <w:bidi w:val="0"/>
              <w:spacing w:before="0" w:after="283"/>
              <w:jc w:val="left"/>
              <w:rPr/>
            </w:pPr>
            <w:r>
              <w:rPr/>
              <w:t> </w:t>
            </w:r>
          </w:p>
        </w:tc>
        <w:tc>
          <w:tcPr>
            <w:tcW w:w="9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12" w:name="xdx_901_edei--EntityAddressPostalZipCode"/>
            <w:bookmarkEnd w:id="12"/>
            <w:r>
              <w:rPr>
                <w:rFonts w:ascii="Times New Roman;Times;Serif" w:hAnsi="Times New Roman;Times;Serif"/>
                <w:b/>
                <w:sz w:val="20"/>
              </w:rPr>
              <w:t>92653</w:t>
            </w:r>
          </w:p>
        </w:tc>
      </w:tr>
      <w:tr>
        <w:trPr/>
        <w:tc>
          <w:tcPr>
            <w:tcW w:w="344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(Address of Principal Executive Offices) </w:t>
            </w:r>
          </w:p>
        </w:tc>
        <w:tc>
          <w:tcPr>
            <w:tcW w:w="60" w:type="dxa"/>
            <w:tcBorders/>
            <w:tcMar>
              <w:bottom w:w="0" w:type="dxa"/>
            </w:tcMar>
            <w:vAlign w:val="center"/>
          </w:tcPr>
          <w:p>
            <w:pPr>
              <w:pStyle w:val="TableContents"/>
              <w:bidi w:val="0"/>
              <w:spacing w:before="0" w:after="283"/>
              <w:jc w:val="left"/>
              <w:rPr/>
            </w:pPr>
            <w:r>
              <w:rPr/>
              <w:t> </w:t>
            </w:r>
          </w:p>
        </w:tc>
        <w:tc>
          <w:tcPr>
            <w:tcW w:w="96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(Zip Code)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F_edei--CityAreaCode_c20260430__20"/>
      <w:bookmarkEnd w:id="13"/>
      <w:r>
        <w:rPr>
          <w:rFonts w:ascii="Times New Roman;Times;Serif" w:hAnsi="Times New Roman;Times;Serif"/>
          <w:b/>
          <w:i w:val="false"/>
          <w:caps w:val="false"/>
          <w:smallCaps w:val="false"/>
          <w:sz w:val="20"/>
        </w:rPr>
        <w:t xml:space="preserve">949) </w:t>
      </w:r>
      <w:bookmarkStart w:id="14" w:name="xdx_907_edei--LocalPhoneNumber_c20260430"/>
      <w:bookmarkEnd w:id="14"/>
      <w:r>
        <w:rPr>
          <w:rFonts w:ascii="Times New Roman;Times;Serif" w:hAnsi="Times New Roman;Times;Serif"/>
          <w:b/>
          <w:i w:val="false"/>
          <w:caps w:val="false"/>
          <w:smallCaps w:val="false"/>
          <w:sz w:val="20"/>
        </w:rPr>
        <w:t>758-0650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0" w:type="dxa"/>
          <w:right w:w="0" w:type="dxa"/>
        </w:tblCellMar>
      </w:tblPr>
      <w:tblGrid>
        <w:gridCol w:w="245"/>
        <w:gridCol w:w="5780"/>
      </w:tblGrid>
      <w:tr>
        <w:trPr/>
        <w:tc>
          <w:tcPr>
            <w:tcW w:w="245" w:type="dxa"/>
            <w:tcBorders/>
            <w:vAlign w:val="center"/>
          </w:tcPr>
          <w:p>
            <w:pPr>
              <w:pStyle w:val="TableContents"/>
              <w:bidi w:val="0"/>
              <w:spacing w:before="0" w:after="283"/>
              <w:jc w:val="left"/>
              <w:rPr/>
            </w:pPr>
            <w:bookmarkStart w:id="15" w:name="xdx_905_edei--WrittenCommunications_c202"/>
            <w:bookmarkEnd w:id="15"/>
            <w:r>
              <w:rPr/>
              <w:t>☐</w:t>
            </w:r>
          </w:p>
        </w:tc>
        <w:tc>
          <w:tcPr>
            <w:tcW w:w="5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305"/>
        <w:gridCol w:w="5555"/>
      </w:tblGrid>
      <w:tr>
        <w:trPr/>
        <w:tc>
          <w:tcPr>
            <w:tcW w:w="305" w:type="dxa"/>
            <w:tcBorders/>
            <w:vAlign w:val="center"/>
          </w:tcPr>
          <w:p>
            <w:pPr>
              <w:pStyle w:val="TableContents"/>
              <w:bidi w:val="0"/>
              <w:spacing w:before="0" w:after="283"/>
              <w:jc w:val="left"/>
              <w:rPr/>
            </w:pPr>
            <w:bookmarkStart w:id="16" w:name="xdx_90B_edei--SolicitingMaterial_c202604"/>
            <w:bookmarkEnd w:id="16"/>
            <w:r>
              <w:rPr/>
              <w:t>☐ </w:t>
            </w:r>
          </w:p>
        </w:tc>
        <w:tc>
          <w:tcPr>
            <w:tcW w:w="55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305"/>
        <w:gridCol w:w="7160"/>
      </w:tblGrid>
      <w:tr>
        <w:trPr/>
        <w:tc>
          <w:tcPr>
            <w:tcW w:w="305" w:type="dxa"/>
            <w:tcBorders/>
            <w:vAlign w:val="center"/>
          </w:tcPr>
          <w:p>
            <w:pPr>
              <w:pStyle w:val="TableContents"/>
              <w:bidi w:val="0"/>
              <w:spacing w:before="0" w:after="283"/>
              <w:jc w:val="left"/>
              <w:rPr/>
            </w:pPr>
            <w:bookmarkStart w:id="17" w:name="xdx_902_edei--PreCommencementTenderOffer"/>
            <w:bookmarkEnd w:id="17"/>
            <w:r>
              <w:rPr/>
              <w:t>☐ </w:t>
            </w:r>
          </w:p>
        </w:tc>
        <w:tc>
          <w:tcPr>
            <w:tcW w:w="71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305"/>
        <w:gridCol w:w="7130"/>
      </w:tblGrid>
      <w:tr>
        <w:trPr/>
        <w:tc>
          <w:tcPr>
            <w:tcW w:w="305" w:type="dxa"/>
            <w:tcBorders/>
            <w:vAlign w:val="center"/>
          </w:tcPr>
          <w:p>
            <w:pPr>
              <w:pStyle w:val="TableContents"/>
              <w:bidi w:val="0"/>
              <w:spacing w:before="0" w:after="283"/>
              <w:jc w:val="left"/>
              <w:rPr/>
            </w:pPr>
            <w:bookmarkStart w:id="18" w:name="xdx_90B_edei--PreCommencementIssuerTende"/>
            <w:bookmarkEnd w:id="18"/>
            <w:r>
              <w:rPr/>
              <w:t>☐ </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540" w:type="dxa"/>
        <w:jc w:val="left"/>
        <w:tblInd w:w="0" w:type="dxa"/>
        <w:tblLayout w:type="fixed"/>
        <w:tblCellMar>
          <w:top w:w="0" w:type="dxa"/>
          <w:left w:w="0" w:type="dxa"/>
          <w:bottom w:w="28" w:type="dxa"/>
          <w:right w:w="0" w:type="dxa"/>
        </w:tblCellMar>
      </w:tblPr>
      <w:tblGrid>
        <w:gridCol w:w="1955"/>
        <w:gridCol w:w="60"/>
        <w:gridCol w:w="1610"/>
        <w:gridCol w:w="60"/>
        <w:gridCol w:w="2855"/>
      </w:tblGrid>
      <w:tr>
        <w:trPr/>
        <w:tc>
          <w:tcPr>
            <w:tcW w:w="19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28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which </w:t>
              <w:br/>
              <w:t>registered</w:t>
            </w:r>
          </w:p>
        </w:tc>
      </w:tr>
      <w:tr>
        <w:trPr/>
        <w:tc>
          <w:tcPr>
            <w:tcW w:w="19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D_edei--Security12bTitle_c20260430"/>
            <w:bookmarkEnd w:id="19"/>
            <w:r>
              <w:rPr>
                <w:rFonts w:ascii="Times New Roman;Times;Serif" w:hAnsi="Times New Roman;Times;Serif"/>
                <w:sz w:val="20"/>
              </w:rPr>
              <w:t>Class A Common Stock</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E_edei--TradingSymbol_c20260430__2"/>
            <w:bookmarkEnd w:id="20"/>
            <w:r>
              <w:rPr>
                <w:rFonts w:ascii="Times New Roman;Times;Serif" w:hAnsi="Times New Roman;Times;Serif"/>
                <w:sz w:val="20"/>
              </w:rPr>
              <w:t>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8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2_edei--SecurityExchangeName_c2026"/>
            <w:bookmarkEnd w:id="21"/>
            <w:r>
              <w:rPr>
                <w:rFonts w:ascii="Times New Roman;Times;Serif" w:hAnsi="Times New Roman;Times;Serif"/>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F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B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070" w:type="dxa"/>
        <w:jc w:val="left"/>
        <w:tblInd w:w="0" w:type="dxa"/>
        <w:tblLayout w:type="fixed"/>
        <w:tblCellMar>
          <w:top w:w="0" w:type="dxa"/>
          <w:left w:w="0" w:type="dxa"/>
          <w:bottom w:w="0" w:type="dxa"/>
          <w:right w:w="0" w:type="dxa"/>
        </w:tblCellMar>
      </w:tblPr>
      <w:tblGrid>
        <w:gridCol w:w="830"/>
        <w:gridCol w:w="8240"/>
      </w:tblGrid>
      <w:tr>
        <w:trPr/>
        <w:tc>
          <w:tcPr>
            <w:tcW w:w="830" w:type="dxa"/>
            <w:tcBorders/>
            <w:vAlign w:val="center"/>
          </w:tcPr>
          <w:p>
            <w:pPr>
              <w:pStyle w:val="TableContents"/>
              <w:bidi w:val="0"/>
              <w:spacing w:before="0" w:after="283"/>
              <w:jc w:val="left"/>
              <w:rPr>
                <w:b/>
                <w:sz w:val="20"/>
              </w:rPr>
            </w:pPr>
            <w:r>
              <w:rPr>
                <w:b/>
                <w:sz w:val="20"/>
              </w:rPr>
              <w:t>Item 3.01</w:t>
            </w:r>
          </w:p>
        </w:tc>
        <w:tc>
          <w:tcPr>
            <w:tcW w:w="8240" w:type="dxa"/>
            <w:tcBorders/>
            <w:vAlign w:val="center"/>
          </w:tcPr>
          <w:p>
            <w:pPr>
              <w:pStyle w:val="TableContents"/>
              <w:bidi w:val="0"/>
              <w:spacing w:before="0" w:after="283"/>
              <w:jc w:val="both"/>
              <w:rPr>
                <w:b/>
                <w:sz w:val="20"/>
              </w:rPr>
            </w:pPr>
            <w:r>
              <w:rPr>
                <w:b/>
                <w:sz w:val="20"/>
              </w:rPr>
              <w:t>Notice of Delisting or Failure to Satisfy a Continued Listing Rule or Standard; Transfer of Listing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October 31, 2025, Elite Express Holding Inc. (the “Company”) received a deficiency letter from the Listing Qualifications Department of The Nasdaq Stock Market LLC (“Nasdaq”) notifying the Company that, based upon the closing bid price of the Company’s listed security for the previous 30 consecutive business days, the Company was not in compliance with the minimum bid price requirement set forth in Nasdaq Listing Rule 5550(a)(2), which requires listed securities to maintain a minimum bid price of $1.00 per share. The deficiency letter provided the Company with 180 calendar days, or until April 29, 2026, to regain compliance.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30, 2026, the Company received a notification from Nasdaq (the “Notification”) advising that, although the Company had not regained compliance with the minimum bid price requirement, Nasdaq determined that the Company is eligible for an additional 180 calendar days, or until October 26, 2026 (the “Second Compliance Period”), to regain compliance. The Notification indicated that Nasdaq’s determination was based on the Company meeting the continued listing requirement for market value of publicly held shares and all other applicable requirements for initial listing on The Nasdaq Capital Market, other than the bid price requirement, and the Company’s written notice of its intention to cure the deficiency during the Second Compliance Period, if necessary, by effecting a reverse stock split.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during the Second Compliance Period the closing bid price of the Company’s listed securities is at least $1.00 per share for a minimum of 10 consecutive business days, subject to Nasdaq’s discretion under the Nasdaq Listing Rules, Nasdaq will provide written confirmation of compliance and the matter will be closed. The Notification has no immediate effect on the listing or trading of the Company’s securities on The Nasdaq Capital Market.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continue monitoring the bid price of its listed securities and will consider available options to regain compliance with Nasdaq Listing Rule 5550(a)(2), including, if necessary, effecting a reverse stock split at a ratio within the range previously approved by the Company’s stockholders. If the Company does not regain compliance by October 26, 2026, Nasdaq will provide written notification that the Company’s securities will be subject to delisting. Although the Company intends to use all reasonable efforts to regain compliance with Nasdaq Listing Rule 5550(a)(2), there can be no assurance that the Company will regain compliance during the Second Compliance Period or otherwise maintain compliance with Nasdaq’s continued listing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30, 2026 </w:t>
      </w:r>
    </w:p>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75"/>
        <w:gridCol w:w="320"/>
        <w:gridCol w:w="3845"/>
      </w:tblGrid>
      <w:tr>
        <w:trPr/>
        <w:tc>
          <w:tcPr>
            <w:tcW w:w="75" w:type="dxa"/>
            <w:tcBorders/>
            <w:vAlign w:val="center"/>
          </w:tcPr>
          <w:p>
            <w:pPr>
              <w:pStyle w:val="TableContents"/>
              <w:bidi w:val="0"/>
              <w:spacing w:before="0" w:after="283"/>
              <w:jc w:val="left"/>
              <w:rPr/>
            </w:pPr>
            <w:r>
              <w:rPr/>
              <w:t> </w:t>
            </w:r>
          </w:p>
        </w:tc>
        <w:tc>
          <w:tcPr>
            <w:tcW w:w="4165" w:type="dxa"/>
            <w:gridSpan w:val="2"/>
            <w:tcBorders/>
            <w:vAlign w:val="center"/>
          </w:tcPr>
          <w:p>
            <w:pPr>
              <w:pStyle w:val="TableContents"/>
              <w:bidi w:val="0"/>
              <w:spacing w:before="0" w:after="283"/>
              <w:jc w:val="left"/>
              <w:rPr>
                <w:b/>
                <w:sz w:val="20"/>
              </w:rPr>
            </w:pPr>
            <w:r>
              <w:rPr>
                <w:b/>
                <w:sz w:val="20"/>
              </w:rPr>
              <w:t>Elite Express Holding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384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Yidan Chen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sz w:val="20"/>
              </w:rPr>
            </w:pPr>
            <w:r>
              <w:rPr>
                <w:sz w:val="20"/>
              </w:rPr>
              <w:t>Yidan Chen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sz w:val="20"/>
              </w:rPr>
            </w:pPr>
            <w:r>
              <w:rPr>
                <w:sz w:val="20"/>
              </w:rPr>
              <w:t>Chief Executive Officer, President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768</Words>
  <Characters>4231</Characters>
  <CharactersWithSpaces>5012</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