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552d1_8k.htm"/>
      <w:bookmarkStart w:id="1" w:name="kstm2627552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10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A_edei--DocumentPeriodEndDate_c202"/>
      <w:bookmarkEnd w:id="3"/>
      <w:r>
        <w:rPr>
          <w:rFonts w:ascii="Times New Roman;Times;Serif" w:hAnsi="Times New Roman;Times;Serif"/>
          <w:b/>
          <w:i w:val="false"/>
          <w:caps w:val="false"/>
          <w:smallCaps w:val="false"/>
          <w:sz w:val="20"/>
        </w:rPr>
        <w:t xml:space="preserve">October 14, 2026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E_edei--EntityRegistrantName_c2026"/>
      <w:bookmarkEnd w:id="4"/>
      <w:r>
        <w:rPr>
          <w:rFonts w:ascii="Times New Roman;Times;Serif" w:hAnsi="Times New Roman;Times;Serif"/>
          <w:b/>
          <w:i w:val="false"/>
          <w:caps w:val="false"/>
          <w:smallCaps w:val="false"/>
          <w:sz w:val="28"/>
          <w:u w:val="single"/>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2180"/>
        <w:gridCol w:w="75"/>
        <w:gridCol w:w="2270"/>
        <w:gridCol w:w="75"/>
        <w:gridCol w:w="1610"/>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75" w:type="dxa"/>
            <w:tcBorders/>
            <w:tcMar>
              <w:bottom w:w="0" w:type="dxa"/>
            </w:tcMar>
            <w:vAlign w:val="center"/>
          </w:tcPr>
          <w:p>
            <w:pPr>
              <w:pStyle w:val="TableContents"/>
              <w:bidi w:val="0"/>
              <w:spacing w:before="0" w:after="283"/>
              <w:jc w:val="left"/>
              <w:rPr/>
            </w:pPr>
            <w:r>
              <w:rPr/>
              <w:t> </w:t>
            </w:r>
          </w:p>
        </w:tc>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1014"/>
            <w:bookmarkEnd w:id="6"/>
            <w:r>
              <w:rPr>
                <w:rFonts w:ascii="Times New Roman;Times;Serif" w:hAnsi="Times New Roman;Times;Serif"/>
                <w:b/>
                <w:sz w:val="20"/>
              </w:rPr>
              <w:t>001-42811</w:t>
            </w:r>
          </w:p>
        </w:tc>
        <w:tc>
          <w:tcPr>
            <w:tcW w:w="75"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99-2516128</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75"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Number) </w:t>
            </w:r>
          </w:p>
        </w:tc>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 xml:space="preserve">Identification No.) </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28" w:type="dxa"/>
          <w:right w:w="0" w:type="dxa"/>
        </w:tblCellMar>
      </w:tblPr>
      <w:tblGrid>
        <w:gridCol w:w="3440"/>
        <w:gridCol w:w="60"/>
        <w:gridCol w:w="965"/>
      </w:tblGrid>
      <w:tr>
        <w:trPr/>
        <w:tc>
          <w:tcPr>
            <w:tcW w:w="34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23046 Avenida De La Carlota, </w:t>
            </w:r>
            <w:bookmarkStart w:id="9" w:name="xdx_907_edei--EntityAddressAddressLine2_"/>
            <w:bookmarkEnd w:id="9"/>
            <w:r>
              <w:rPr>
                <w:rFonts w:ascii="Times New Roman;Times;Serif" w:hAnsi="Times New Roman;Times;Serif"/>
                <w:b/>
                <w:i w:val="false"/>
                <w:caps w:val="false"/>
                <w:smallCaps w:val="false"/>
                <w:sz w:val="20"/>
              </w:rPr>
              <w:t>Suite 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Laguna Hills, </w:t>
            </w:r>
            <w:bookmarkStart w:id="11" w:name="xdx_909_edei--EntityAddressStateOrProvin"/>
            <w:bookmarkEnd w:id="11"/>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92653</w:t>
            </w:r>
          </w:p>
        </w:tc>
      </w:tr>
      <w:tr>
        <w:trPr/>
        <w:tc>
          <w:tcPr>
            <w:tcW w:w="34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Executive Offices)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(Zip Code)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1014__20"/>
      <w:bookmarkEnd w:id="13"/>
      <w:r>
        <w:rPr>
          <w:rFonts w:ascii="Times New Roman;Times;Serif" w:hAnsi="Times New Roman;Times;Serif"/>
          <w:b/>
          <w:i w:val="false"/>
          <w:caps w:val="false"/>
          <w:smallCaps w:val="false"/>
          <w:sz w:val="20"/>
        </w:rPr>
        <w:t xml:space="preserve">949) </w:t>
      </w:r>
      <w:bookmarkStart w:id="14" w:name="xdx_900_edei--LocalPhoneNumber_c20261014"/>
      <w:bookmarkEnd w:id="14"/>
      <w:r>
        <w:rPr>
          <w:rFonts w:ascii="Times New Roman;Times;Serif" w:hAnsi="Times New Roman;Times;Serif"/>
          <w:b/>
          <w:i w:val="false"/>
          <w:caps w:val="false"/>
          <w:smallCaps w:val="false"/>
          <w:sz w:val="20"/>
        </w:rPr>
        <w:t>758-0650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305"/>
        <w:gridCol w:w="5555"/>
      </w:tblGrid>
      <w:tr>
        <w:trPr/>
        <w:tc>
          <w:tcPr>
            <w:tcW w:w="305" w:type="dxa"/>
            <w:tcBorders/>
            <w:vAlign w:val="center"/>
          </w:tcPr>
          <w:p>
            <w:pPr>
              <w:pStyle w:val="TableContents"/>
              <w:bidi w:val="0"/>
              <w:spacing w:before="0" w:after="283"/>
              <w:jc w:val="left"/>
              <w:rPr/>
            </w:pPr>
            <w:bookmarkStart w:id="16" w:name="xdx_909_edei--SolicitingMaterial_c202610"/>
            <w:bookmarkEnd w:id="16"/>
            <w:r>
              <w:rPr/>
              <w:t>☐ </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305"/>
        <w:gridCol w:w="7160"/>
      </w:tblGrid>
      <w:tr>
        <w:trPr/>
        <w:tc>
          <w:tcPr>
            <w:tcW w:w="305" w:type="dxa"/>
            <w:tcBorders/>
            <w:vAlign w:val="center"/>
          </w:tcPr>
          <w:p>
            <w:pPr>
              <w:pStyle w:val="TableContents"/>
              <w:bidi w:val="0"/>
              <w:spacing w:before="0" w:after="283"/>
              <w:jc w:val="left"/>
              <w:rPr/>
            </w:pPr>
            <w:bookmarkStart w:id="17" w:name="xdx_904_edei--PreCommencementTenderOffer"/>
            <w:bookmarkEnd w:id="17"/>
            <w:r>
              <w:rPr/>
              <w:t>☐ </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305"/>
        <w:gridCol w:w="7130"/>
      </w:tblGrid>
      <w:tr>
        <w:trPr/>
        <w:tc>
          <w:tcPr>
            <w:tcW w:w="305" w:type="dxa"/>
            <w:tcBorders/>
            <w:vAlign w:val="center"/>
          </w:tcPr>
          <w:p>
            <w:pPr>
              <w:pStyle w:val="TableContents"/>
              <w:bidi w:val="0"/>
              <w:spacing w:before="0" w:after="283"/>
              <w:jc w:val="left"/>
              <w:rPr/>
            </w:pPr>
            <w:bookmarkStart w:id="18" w:name="xdx_90E_edei--PreCommencementIssuerTende"/>
            <w:bookmarkEnd w:id="18"/>
            <w:r>
              <w:rPr/>
              <w:t>☐ </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Security12bTitle_c20261014"/>
            <w:bookmarkEnd w:id="19"/>
            <w:r>
              <w:rPr>
                <w:rFonts w:ascii="Times New Roman;Times;Serif" w:hAnsi="Times New Roman;Times;Serif"/>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A_edei--TradingSymbol_c20261014__2"/>
            <w:bookmarkEnd w:id="20"/>
            <w:r>
              <w:rPr>
                <w:rFonts w:ascii="Times New Roman;Times;Serif" w:hAnsi="Times New Roman;Times;Serif"/>
                <w:sz w:val="20"/>
              </w:rPr>
              <w:t>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E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E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b/>
                <w:sz w:val="20"/>
              </w:rPr>
            </w:pPr>
            <w:r>
              <w:rPr>
                <w:b/>
                <w:sz w:val="20"/>
              </w:rPr>
              <w:t>Item 2.02</w:t>
            </w:r>
          </w:p>
        </w:tc>
        <w:tc>
          <w:tcPr>
            <w:tcW w:w="3980" w:type="dxa"/>
            <w:tcBorders/>
            <w:vAlign w:val="center"/>
          </w:tcPr>
          <w:p>
            <w:pPr>
              <w:pStyle w:val="TableContents"/>
              <w:bidi w:val="0"/>
              <w:spacing w:before="0" w:after="283"/>
              <w:jc w:val="both"/>
              <w:rPr>
                <w:b/>
                <w:sz w:val="20"/>
              </w:rPr>
            </w:pPr>
            <w:r>
              <w:rPr>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Elite Express Holding Inc. issued a press release to announce its financial results for the quarter ended August 31, 2026.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830"/>
        <w:gridCol w:w="785"/>
      </w:tblGrid>
      <w:tr>
        <w:trPr/>
        <w:tc>
          <w:tcPr>
            <w:tcW w:w="830" w:type="dxa"/>
            <w:tcBorders/>
            <w:vAlign w:val="center"/>
          </w:tcPr>
          <w:p>
            <w:pPr>
              <w:pStyle w:val="TableContents"/>
              <w:bidi w:val="0"/>
              <w:spacing w:before="0" w:after="283"/>
              <w:jc w:val="left"/>
              <w:rPr>
                <w:b/>
                <w:sz w:val="20"/>
              </w:rPr>
            </w:pPr>
            <w:r>
              <w:rPr>
                <w:b/>
                <w:sz w:val="20"/>
              </w:rPr>
              <w:t>Item 9.01</w:t>
            </w:r>
          </w:p>
        </w:tc>
        <w:tc>
          <w:tcPr>
            <w:tcW w:w="785" w:type="dxa"/>
            <w:tcBorders/>
            <w:vAlign w:val="center"/>
          </w:tcPr>
          <w:p>
            <w:pPr>
              <w:pStyle w:val="TableContents"/>
              <w:bidi w:val="0"/>
              <w:spacing w:before="0" w:after="283"/>
              <w:jc w:val="both"/>
              <w:rPr>
                <w:b/>
                <w:sz w:val="20"/>
              </w:rPr>
            </w:pPr>
            <w:r>
              <w:rPr>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283"/>
              <w:jc w:val="left"/>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left"/>
              <w:rPr/>
            </w:pPr>
            <w:hyperlink w:anchor="tm2627552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7552d1_ex99-1.htm">
              <w:r>
                <w:rPr>
                  <w:rStyle w:val="InternetLink"/>
                  <w:sz w:val="20"/>
                </w:rPr>
                <w:t>Press Release dated October 14, 2026</w:t>
              </w:r>
            </w:hyperlink>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14, 2026</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320"/>
        <w:gridCol w:w="3845"/>
      </w:tblGrid>
      <w:tr>
        <w:trPr/>
        <w:tc>
          <w:tcPr>
            <w:tcW w:w="7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Elite Express Holding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bookmarkStart w:id="24" w:name="tm2627552d1_ex99-1.htm"/>
      <w:bookmarkStart w:id="25" w:name="kstm2627552d1_ex991"/>
      <w:bookmarkEnd w:id="24"/>
      <w:bookmarkEnd w:id="25"/>
      <w:r>
        <w:rPr/>
        <w:t> </w:t>
      </w:r>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left"/>
        <w:rPr/>
      </w:pPr>
      <w:r>
        <w:rPr/>
        <w:t> </w:t>
      </w:r>
    </w:p>
    <w:p>
      <w:pPr>
        <w:pStyle w:val="TextBody"/>
        <w:bidi w:val="0"/>
        <w:spacing w:before="0" w:after="0"/>
        <w:ind w:left="0" w:right="0" w:hanging="0"/>
        <w:jc w:val="right"/>
        <w:rPr/>
      </w:pPr>
      <w:r>
        <w:rPr/>
        <w:drawing>
          <wp:inline distT="0" distB="0" distL="0" distR="0">
            <wp:extent cx="19431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5429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Reports Third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Calif., October 14, 2026 (GLOBE NEWSWIRE) – Elite Express Holding Inc. (“ETS” or the “Company”) (Nasdaq: ETS), a California-based provider of last-mile delivery services, today reported results for the quarter ended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August 31, 2026, the Company reported revenue of $766,422, representing a 20.9% increase compared with the same period in 2025. Gross profit increased to $95,759, compared with $6,817 for the same period in 2025, reflecting continued improvements in operating efficiency. The Company reported a net loss of $760,138, primarily attributable to a significant increase in general and administrative expenses, including professional fees, payroll, and franchise tax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Yidan Chen, ETS’s CEO, commented, “Our third quarter results reflect continued growth in our delivery operations, with revenue increasing 20.9% year over year and gross profit improving significantly, demonstrating the benefits of our ongoing focus on operational execution and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quarter, we continued to optimize route management, fleet utilization, and labor productivity while maintaining our focus on disciplined cost management. Although higher general and administrative expenses impacted our net results, we remain focused on improving operating efficiency, pursuing disciplined growth opportunities, and building a stronger foundation for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August 31, 2026, the Company reported revenue of $766,422, representing an increase of $132,557, or 20.9%, compared with $633,865 for the three months ended August 31, 2025. Activity-based revenue accounted for $545,879, or 71.2% of total revenue, during the three months ended August 31, 2026, compared with $477,705, or 75.4% of total revenue, for the same period in the prior year. Fixed revenue, including weekly service charges and branding-related revenue, increased from $155,644 for the three months ended August 31, 2025 to $216,230 for the three months ended August 31, 2026. This increase was primarily attributable to higher weekly service charge rates under the Company’s ISP agreement with FedEx, which was renewed on February 21, 2026. Other pickup and delivery revenue increased from $516 for the three months ended August 31, 2025 to $4,313 for the three months ended August 31, 2026, representing an increase of $3,797.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reported cost of revenue of $670,663 for the three months ended August 31, 2026, compared with $627,048 for the three months ended August 31, 2025, representing an increase of $43,615, or 7.0%. This increase was primarily due to increased maintenance and repair costs and higher cost of service related to the rental of additional vehicles to fulfill the Company’s delivery volume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August 31, 2026, the Company reported gross profit of $95,759, compared with $6,817 for the three months ended August 31, 2025, representing an improvement of $88,942. Gross margin improved to 12.5% for the three months ended August 31, 2026, compared with 1.1% in the prior-year period. The improvement was primarily attributable to higher revenue growth, which outpaced the increase in 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Company increased by $865,424, or 570.9%, to $1,017,024 for the three months ended August 31, 2026, from $151,600 for the three months ended August 31, 2025. The increase was mainly due to (i) $137,337 in higher professional fees, primarily related to audit services, financial reporting, and SEC and regulatory compliance associated with the Company’s transition to a public company; (ii) $586,252 in higher payroll expenses associated with personnel supporting corporate governance, internal controls, and administrative operations; (iii) a $120,108 increase in franchise tax expenses; and (iv) $21,727 in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August 31, 2026, the Company's loans receivable portfolio generated interest income of $135,359. The portfolio includes loans to unrelated third-party borrowers, which were made to generate interest income on the net proceeds from the Company's initial public offering prior to their deployment for the purposes described in the Company's prospectus. Effective June 1, 2026, the maturity dates of the remaining outstanding loans from the Company's original loan portfolio were extended to November 30, 2026, with an annual interest rate of 5%. During the quarter, the Company also entered into additional loan agreements with unrelated third-party borrowers with an aggregate principal amount of $1.9 million, bearing interest at an annual rate of 5% and maturing in 12 months. The loans are secured by personal guarantees provided by the shareholders or chief executive officers of the respective borrowers, and the Company has no related-party relationships with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 92653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94310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43100" cy="542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$760,138 for the three months ended August 31, 2026, compared with a net loss of $185,881 for the same period in 2025, representing an increase of $574,257, or 308.9%. The increase was primarily attributable to higher general and administrative expenses, including increased professional fees, payroll expenses, and franchise tax expenses, partially offset by higher revenue and improved gross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federal securities laws. All statements other than statements of historical fact are forward-looking statements, including, but not limited to: projections of earnings, revenue, or other financial items; statements regarding the adequacy, availability, and sources of capital; statements of the plans, strategies, and objectives of management for future operations; statements concerning proposed new services or developments; statements regarding future economic conditions or performance; statements of belief; and statements of assumptions underlying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may include the words “may,” “will,” “estimate,” “intend,” “continue,” “believe,” “expect,” “plan,” “project,” “anticipate,” and other similar expressions. These forward-looking statements are based on current expectations and assumptions and are subject to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differ materially from those expressed or implied in the forward-looking statements include, among others, the risks and uncertainties described in the “Risk Factors” section of the Company’s Annual Report on Form 10-K for the fiscal year ended November 30, 2025, as well as in the Company’s subsequent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reflected in its forward-looking statements are reasonable, actual results could differ materially from those projected or assumed. The Company’s future financial condition and results of operations are subject to change and to inherent risks and uncertainties. Except as required by law, the Company undertakes no obligation to update any forward-looking statements to reflect events or circumstances after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this release should be read in conjunction with the Company’s unaudited condensed consolidated financial statements and related notes included in its Quarterly Report on Form 10-Q for the quarter ended August 31, 2026, which was filed with the Securities and Exchange Commission on 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758-0650</w:t>
        <w:br/>
      </w:r>
      <w:r>
        <w:rPr>
          <w:rFonts w:ascii="Times New Roman;Times;Serif" w:hAnsi="Times New Roman;Times;Serif"/>
          <w:b w:val="false"/>
          <w:i w:val="false"/>
          <w:caps w:val="false"/>
          <w:smallCaps w:val="false"/>
          <w:sz w:val="20"/>
          <w:u w:val="single"/>
        </w:rPr>
        <w:t>ir@eliteexpressholding.com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 92653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943100"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43100" cy="542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&amp; ITS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3845"/>
        <w:gridCol w:w="60"/>
        <w:gridCol w:w="133"/>
        <w:gridCol w:w="1016"/>
        <w:gridCol w:w="85"/>
        <w:gridCol w:w="64"/>
        <w:gridCol w:w="133"/>
        <w:gridCol w:w="1016"/>
        <w:gridCol w:w="80"/>
        <w:gridCol w:w="60"/>
        <w:gridCol w:w="127"/>
        <w:gridCol w:w="966"/>
        <w:gridCol w:w="81"/>
        <w:gridCol w:w="61"/>
        <w:gridCol w:w="127"/>
        <w:gridCol w:w="966"/>
        <w:gridCol w:w="9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232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23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766,422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633,865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2,298,549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1,956,258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76,902</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235,198</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176,984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357,790</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1,088,724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1,085,885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30,272</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80,544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188,668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114,408</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336,674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304,600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repairs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91,291</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223,248</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207,709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670,663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627,048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1,964,388</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1,963,846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95,759</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334,161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(7,588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2,150,000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1,017,024</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151,600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2,187,702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576,981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1,017,024</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151,600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4,337,702</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576,981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(921,265</w:t>
            </w:r>
          </w:p>
        </w:tc>
        <w:tc>
          <w:tcPr>
            <w:tcW w:w="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(144,783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(4,003,541</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(584,569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161,127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575,965</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25,992</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161,127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601,957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(760,138</w:t>
            </w:r>
          </w:p>
        </w:tc>
        <w:tc>
          <w:tcPr>
            <w:tcW w:w="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(142,535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(3,401,584</w:t>
            </w:r>
          </w:p>
        </w:tc>
        <w:tc>
          <w:tcPr>
            <w:tcW w:w="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(561,036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(760,138</w:t>
            </w:r>
          </w:p>
        </w:tc>
        <w:tc>
          <w:tcPr>
            <w:tcW w:w="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(185,881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(3,403,184</w:t>
            </w:r>
          </w:p>
        </w:tc>
        <w:tc>
          <w:tcPr>
            <w:tcW w:w="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(498,484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common share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(0.02</w:t>
            </w:r>
          </w:p>
        </w:tc>
        <w:tc>
          <w:tcPr>
            <w:tcW w:w="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(0.13</w:t>
            </w:r>
          </w:p>
        </w:tc>
        <w:tc>
          <w:tcPr>
            <w:tcW w:w="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47,325,368</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13,288,411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26,994,044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13,041,947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 92653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943100"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43100" cy="542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&amp; ITS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7723" w:type="dxa"/>
        <w:jc w:val="left"/>
        <w:tblInd w:w="0" w:type="dxa"/>
        <w:tblLayout w:type="fixed"/>
        <w:tblCellMar>
          <w:top w:w="0" w:type="dxa"/>
          <w:left w:w="0" w:type="dxa"/>
          <w:bottom w:w="0" w:type="dxa"/>
          <w:right w:w="0" w:type="dxa"/>
        </w:tblCellMar>
      </w:tblPr>
      <w:tblGrid>
        <w:gridCol w:w="4970"/>
        <w:gridCol w:w="60"/>
        <w:gridCol w:w="149"/>
        <w:gridCol w:w="1145"/>
        <w:gridCol w:w="60"/>
        <w:gridCol w:w="60"/>
        <w:gridCol w:w="139"/>
        <w:gridCol w:w="1065"/>
        <w:gridCol w:w="7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br/>
              <w:t>August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November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3,003,589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1,308,529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11,549,811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9,999,811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D&amp;O insurance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2,124,707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898,191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16,933,812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12,381,556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487,600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668,858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668,858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18,173,813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13,705,022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385,130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513,155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513,155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17,788,683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13,191,867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18,173,813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13,705,022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 92653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943100"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43100" cy="542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&amp; ITS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5937" w:type="dxa"/>
        <w:jc w:val="left"/>
        <w:tblInd w:w="0" w:type="dxa"/>
        <w:tblLayout w:type="fixed"/>
        <w:tblCellMar>
          <w:top w:w="0" w:type="dxa"/>
          <w:left w:w="0" w:type="dxa"/>
          <w:bottom w:w="0" w:type="dxa"/>
          <w:right w:w="0" w:type="dxa"/>
        </w:tblCellMar>
      </w:tblPr>
      <w:tblGrid>
        <w:gridCol w:w="3455"/>
        <w:gridCol w:w="60"/>
        <w:gridCol w:w="129"/>
        <w:gridCol w:w="939"/>
        <w:gridCol w:w="83"/>
        <w:gridCol w:w="62"/>
        <w:gridCol w:w="129"/>
        <w:gridCol w:w="985"/>
        <w:gridCol w:w="95"/>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7" w:type="dxa"/>
            <w:gridSpan w:val="6"/>
            <w:tcBorders/>
            <w:vAlign w:val="center"/>
          </w:tcPr>
          <w:p>
            <w:pPr>
              <w:pStyle w:val="TableContents"/>
              <w:bidi w:val="0"/>
              <w:spacing w:before="0" w:after="283"/>
              <w:jc w:val="center"/>
              <w:rPr>
                <w:b/>
                <w:sz w:val="20"/>
              </w:rPr>
            </w:pPr>
            <w:r>
              <w:rPr>
                <w:b/>
                <w:sz w:val="20"/>
              </w:rPr>
              <w:t>For the Nine Months Ended</w:t>
            </w:r>
          </w:p>
        </w:tc>
        <w:tc>
          <w:tcPr>
            <w:tcW w:w="9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August 31,</w:t>
            </w:r>
          </w:p>
        </w:tc>
        <w:tc>
          <w:tcPr>
            <w:tcW w:w="9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b/>
                <w:sz w:val="20"/>
              </w:rPr>
            </w:pPr>
            <w:r>
              <w:rPr>
                <w:b/>
                <w:sz w:val="20"/>
              </w:rPr>
              <w:t>Net loss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b/>
                <w:sz w:val="20"/>
              </w:rPr>
            </w:pPr>
            <w:r>
              <w:rPr>
                <w:b/>
                <w:sz w:val="20"/>
              </w:rPr>
              <w:t>$</w:t>
            </w:r>
          </w:p>
        </w:tc>
        <w:tc>
          <w:tcPr>
            <w:tcW w:w="939" w:type="dxa"/>
            <w:tcBorders/>
            <w:shd w:fill="FFFFFF" w:val="clear"/>
            <w:vAlign w:val="center"/>
          </w:tcPr>
          <w:p>
            <w:pPr>
              <w:pStyle w:val="TableContents"/>
              <w:bidi w:val="0"/>
              <w:spacing w:before="0" w:after="283"/>
              <w:jc w:val="right"/>
              <w:rPr>
                <w:b/>
                <w:sz w:val="20"/>
              </w:rPr>
            </w:pPr>
            <w:r>
              <w:rPr>
                <w:b/>
                <w:sz w:val="20"/>
              </w:rPr>
              <w:t>(3,403,184</w:t>
            </w:r>
          </w:p>
        </w:tc>
        <w:tc>
          <w:tcPr>
            <w:tcW w:w="83" w:type="dxa"/>
            <w:tcBorders/>
            <w:shd w:fill="FFFFFF" w:val="clear"/>
            <w:vAlign w:val="center"/>
          </w:tcPr>
          <w:p>
            <w:pPr>
              <w:pStyle w:val="TableContents"/>
              <w:bidi w:val="0"/>
              <w:spacing w:before="0" w:after="283"/>
              <w:jc w:val="left"/>
              <w:rPr>
                <w:b/>
                <w:sz w:val="20"/>
              </w:rPr>
            </w:pPr>
            <w:r>
              <w:rPr>
                <w:b/>
                <w:sz w:val="20"/>
              </w:rPr>
              <w:t>)</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b/>
                <w:sz w:val="20"/>
              </w:rPr>
            </w:pPr>
            <w:r>
              <w:rPr>
                <w:b/>
                <w:sz w:val="20"/>
              </w:rPr>
              <w:t>$</w:t>
            </w:r>
          </w:p>
        </w:tc>
        <w:tc>
          <w:tcPr>
            <w:tcW w:w="985" w:type="dxa"/>
            <w:tcBorders/>
            <w:shd w:fill="FFFFFF" w:val="clear"/>
            <w:vAlign w:val="center"/>
          </w:tcPr>
          <w:p>
            <w:pPr>
              <w:pStyle w:val="TableContents"/>
              <w:bidi w:val="0"/>
              <w:spacing w:before="0" w:after="283"/>
              <w:jc w:val="right"/>
              <w:rPr>
                <w:b/>
                <w:sz w:val="20"/>
              </w:rPr>
            </w:pPr>
            <w:r>
              <w:rPr>
                <w:b/>
                <w:sz w:val="20"/>
              </w:rPr>
              <w:t>(498,484</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3455" w:type="dxa"/>
            <w:tcBorders/>
            <w:shd w:fill="CCEEFF" w:val="clear"/>
            <w:vAlign w:val="center"/>
          </w:tcPr>
          <w:p>
            <w:pPr>
              <w:pStyle w:val="TableContents"/>
              <w:bidi w:val="0"/>
              <w:spacing w:before="0" w:after="283"/>
              <w:jc w:val="left"/>
              <w:rPr>
                <w:b/>
                <w:sz w:val="20"/>
              </w:rPr>
            </w:pPr>
            <w:r>
              <w:rPr>
                <w:b/>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(4,741,858</w:t>
            </w:r>
          </w:p>
        </w:tc>
        <w:tc>
          <w:tcPr>
            <w:tcW w:w="83" w:type="dxa"/>
            <w:tcBorders/>
            <w:shd w:fill="CCEEFF" w:val="clear"/>
            <w:vAlign w:val="center"/>
          </w:tcPr>
          <w:p>
            <w:pPr>
              <w:pStyle w:val="TableContents"/>
              <w:bidi w:val="0"/>
              <w:spacing w:before="0" w:after="283"/>
              <w:jc w:val="left"/>
              <w:rPr>
                <w:b/>
                <w:sz w:val="20"/>
              </w:rPr>
            </w:pPr>
            <w:r>
              <w:rPr>
                <w:b/>
                <w:sz w:val="20"/>
              </w:rPr>
              <w:t>)</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(640,210</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b/>
                <w:sz w:val="20"/>
              </w:rPr>
            </w:pPr>
            <w:r>
              <w:rPr>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b/>
                <w:sz w:val="20"/>
              </w:rPr>
            </w:pPr>
            <w:r>
              <w:rPr>
                <w:b/>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(1,556,418</w:t>
            </w:r>
          </w:p>
        </w:tc>
        <w:tc>
          <w:tcPr>
            <w:tcW w:w="83" w:type="dxa"/>
            <w:tcBorders/>
            <w:shd w:fill="FFFFFF" w:val="clear"/>
            <w:vAlign w:val="center"/>
          </w:tcPr>
          <w:p>
            <w:pPr>
              <w:pStyle w:val="TableContents"/>
              <w:bidi w:val="0"/>
              <w:spacing w:before="0" w:after="283"/>
              <w:jc w:val="left"/>
              <w:rPr>
                <w:b/>
                <w:sz w:val="20"/>
              </w:rPr>
            </w:pPr>
            <w:r>
              <w:rPr>
                <w:b/>
                <w:sz w:val="20"/>
              </w:rPr>
              <w:t>)</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(79,908</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b/>
                <w:sz w:val="20"/>
              </w:rPr>
            </w:pPr>
            <w:r>
              <w:rPr>
                <w:b/>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7,993,336</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14,103,098</w:t>
            </w:r>
          </w:p>
        </w:tc>
        <w:tc>
          <w:tcPr>
            <w:tcW w:w="9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b/>
                <w:sz w:val="20"/>
              </w:rPr>
            </w:pPr>
            <w:r>
              <w:rPr>
                <w:b/>
                <w:sz w:val="20"/>
              </w:rPr>
              <w:t>Net increase in cash</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b/>
                <w:sz w:val="20"/>
              </w:rPr>
            </w:pPr>
            <w:r>
              <w:rPr>
                <w:b/>
                <w:sz w:val="20"/>
              </w:rPr>
              <w:t>1,695,060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b/>
                <w:sz w:val="20"/>
              </w:rPr>
            </w:pPr>
            <w:r>
              <w:rPr>
                <w:b/>
                <w:sz w:val="20"/>
              </w:rPr>
              <w:t>13,382,980</w:t>
            </w:r>
          </w:p>
        </w:tc>
        <w:tc>
          <w:tcPr>
            <w:tcW w:w="9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b/>
                <w:sz w:val="20"/>
              </w:rPr>
            </w:pPr>
            <w:r>
              <w:rPr>
                <w:b/>
                <w:sz w:val="20"/>
              </w:rPr>
              <w:t>Cash, beginning of period</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1,308,529</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170,157</w:t>
            </w:r>
          </w:p>
        </w:tc>
        <w:tc>
          <w:tcPr>
            <w:tcW w:w="9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b/>
                <w:sz w:val="20"/>
              </w:rPr>
            </w:pPr>
            <w:r>
              <w:rPr>
                <w:b/>
                <w:sz w:val="20"/>
              </w:rPr>
              <w:t>Cash, end of period</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3,003,589</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13,553,137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 92653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2040</Words>
  <Characters>11759</Characters>
  <CharactersWithSpaces>14263</CharactersWithSpaces>
  <Paragraphs>1146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